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0E83" w:rsidRDefault="00840B9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F79646"/>
          <w:sz w:val="24"/>
          <w:szCs w:val="24"/>
        </w:rPr>
        <w:t>STANDARD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noProof/>
        </w:rPr>
        <w:drawing>
          <wp:inline distT="0" distB="0" distL="0" distR="0">
            <wp:extent cx="1676400" cy="723900"/>
            <wp:effectExtent l="0" t="0" r="0" b="0"/>
            <wp:docPr id="1" name="image02.jpg" descr="https://noharm-uscanada.org/sites/default/files/content-images/us-canada/168/PGH-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s://noharm-uscanada.org/sites/default/files/content-images/us-canada/168/PGH-cropp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2" name="image03.png" descr="https://noharm.org/sites/all/themes/hcwh_default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ttps://noharm.org/sites/all/themes/hcwh_default/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480" w:type="dxa"/>
        <w:tblInd w:w="-11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  <w:gridCol w:w="5158"/>
      </w:tblGrid>
      <w:tr w:rsidR="008F0E83" w:rsidTr="008F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1" w:type="dxa"/>
            <w:vAlign w:val="center"/>
          </w:tcPr>
          <w:p w:rsidR="008F0E83" w:rsidRDefault="00840B9D">
            <w:pPr>
              <w:contextualSpacing w:val="0"/>
            </w:pPr>
            <w:r>
              <w:t xml:space="preserve">Owner: </w:t>
            </w:r>
            <w:r>
              <w:rPr>
                <w:b w:val="0"/>
              </w:rPr>
              <w:t>Name of Team</w:t>
            </w:r>
          </w:p>
        </w:tc>
        <w:tc>
          <w:tcPr>
            <w:tcW w:w="5161" w:type="dxa"/>
            <w:vAlign w:val="center"/>
          </w:tcPr>
          <w:p w:rsidR="008F0E83" w:rsidRDefault="00840B9D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Approved By: </w:t>
            </w:r>
          </w:p>
        </w:tc>
        <w:tc>
          <w:tcPr>
            <w:tcW w:w="5158" w:type="dxa"/>
            <w:vAlign w:val="center"/>
          </w:tcPr>
          <w:p w:rsidR="008F0E83" w:rsidRDefault="00840B9D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Revision Date: </w:t>
            </w:r>
          </w:p>
        </w:tc>
      </w:tr>
      <w:tr w:rsidR="008F0E83" w:rsidTr="008F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0" w:type="dxa"/>
            <w:gridSpan w:val="3"/>
            <w:vAlign w:val="center"/>
          </w:tcPr>
          <w:p w:rsidR="008F0E83" w:rsidRDefault="00840B9D">
            <w:pPr>
              <w:tabs>
                <w:tab w:val="left" w:pos="2925"/>
              </w:tabs>
              <w:contextualSpacing w:val="0"/>
            </w:pPr>
            <w:r>
              <w:rPr>
                <w:sz w:val="24"/>
                <w:szCs w:val="24"/>
              </w:rPr>
              <w:t xml:space="preserve">Process: </w:t>
            </w:r>
            <w:r>
              <w:rPr>
                <w:b w:val="0"/>
                <w:color w:val="000000"/>
                <w:sz w:val="24"/>
                <w:szCs w:val="24"/>
              </w:rPr>
              <w:t>How to assemble a cross-functional green team or subcommittee team.</w:t>
            </w:r>
          </w:p>
        </w:tc>
      </w:tr>
    </w:tbl>
    <w:p w:rsidR="008F0E83" w:rsidRDefault="008F0E83"/>
    <w:tbl>
      <w:tblPr>
        <w:tblStyle w:val="a0"/>
        <w:tblW w:w="15475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830"/>
        <w:gridCol w:w="4725"/>
        <w:gridCol w:w="3300"/>
        <w:gridCol w:w="1455"/>
        <w:gridCol w:w="3610"/>
      </w:tblGrid>
      <w:tr w:rsidR="008F0E83" w:rsidTr="008F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>#</w:t>
            </w:r>
          </w:p>
        </w:tc>
        <w:tc>
          <w:tcPr>
            <w:tcW w:w="1830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 xml:space="preserve">WHAT </w:t>
            </w:r>
            <w:r>
              <w:rPr>
                <w:color w:val="F79646"/>
                <w:sz w:val="20"/>
                <w:szCs w:val="20"/>
              </w:rPr>
              <w:br/>
              <w:t>(Major Activities)</w:t>
            </w:r>
          </w:p>
        </w:tc>
        <w:tc>
          <w:tcPr>
            <w:tcW w:w="4725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 xml:space="preserve">HOW </w:t>
            </w:r>
            <w:r>
              <w:rPr>
                <w:color w:val="F79646"/>
                <w:sz w:val="20"/>
                <w:szCs w:val="20"/>
              </w:rPr>
              <w:br/>
              <w:t>(Details)</w:t>
            </w:r>
          </w:p>
        </w:tc>
        <w:tc>
          <w:tcPr>
            <w:tcW w:w="3300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 xml:space="preserve">WHY </w:t>
            </w:r>
            <w:r>
              <w:rPr>
                <w:color w:val="F79646"/>
                <w:sz w:val="20"/>
                <w:szCs w:val="20"/>
              </w:rPr>
              <w:br/>
              <w:t>(Reason)</w:t>
            </w:r>
          </w:p>
        </w:tc>
        <w:tc>
          <w:tcPr>
            <w:tcW w:w="1455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>WHO</w:t>
            </w:r>
          </w:p>
        </w:tc>
        <w:tc>
          <w:tcPr>
            <w:tcW w:w="3610" w:type="dxa"/>
            <w:shd w:val="clear" w:color="auto" w:fill="FDEADA"/>
            <w:vAlign w:val="center"/>
          </w:tcPr>
          <w:p w:rsidR="008F0E83" w:rsidRDefault="00840B9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79646"/>
                <w:sz w:val="20"/>
                <w:szCs w:val="20"/>
              </w:rPr>
            </w:pPr>
            <w:r>
              <w:rPr>
                <w:color w:val="F79646"/>
                <w:sz w:val="20"/>
                <w:szCs w:val="20"/>
              </w:rPr>
              <w:t>ILLUSTRATION/LINKS</w:t>
            </w: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Assess current committee structure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Survey staff to get the landscape of committees around Joint Commission, Safety, Construction, Quality and others to identify synergies. Consider whether a new committee structure is needed.  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</w:t>
            </w:r>
            <w:r>
              <w:t xml:space="preserve">committee overload, some of the work may already be underway in other areas.  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an overview, visit Practice Greenhealth </w:t>
            </w:r>
            <w:hyperlink r:id="rId9">
              <w:r>
                <w:rPr>
                  <w:color w:val="0000FF"/>
                  <w:u w:val="single"/>
                </w:rPr>
                <w:t>Team Web page</w:t>
              </w:r>
            </w:hyperlink>
          </w:p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out </w:t>
            </w:r>
            <w:hyperlink r:id="rId10">
              <w:r>
                <w:rPr>
                  <w:color w:val="1155CC"/>
                  <w:u w:val="single"/>
                </w:rPr>
                <w:t>Leadership Exemplary documents</w:t>
              </w:r>
            </w:hyperlink>
            <w:r>
              <w:t xml:space="preserve"> from PGH</w:t>
            </w:r>
            <w:r>
              <w:t xml:space="preserve"> Members.</w:t>
            </w: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Obtain Executive Sponsor or </w:t>
            </w:r>
            <w:r>
              <w:rPr>
                <w:b/>
              </w:rPr>
              <w:t>Management Representative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hospital leadership aware of sustainability programming plans, discuss ideas for structure, acquires approval and support.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oversight helps initiatives relative to value and to overcome obstacles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Define  Scope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the sites and locations that will be part of this effort.  The committee structure can pilot at one site but over time connect all sit</w:t>
            </w:r>
            <w:r>
              <w:t>es and join together with an oversight.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larger the system, the more complex the structure and clear scope helps identify committee structure but also where communication with other committees is important.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Select Team Members 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Invite i</w:t>
            </w:r>
            <w:r>
              <w:t xml:space="preserve">ndividuals from various departments with different skillsets (Facilities, Patient Care/experience, Food and Nutrition, Safety, Environmental Services, Supply Chain, </w:t>
            </w:r>
            <w:r>
              <w:lastRenderedPageBreak/>
              <w:t xml:space="preserve">Communications etc.) </w:t>
            </w:r>
          </w:p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Helps diversify the team and collective of impact various resources such as rebates, grants and incentives.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Set Mission, </w:t>
            </w:r>
            <w:r>
              <w:rPr>
                <w:b/>
              </w:rPr>
              <w:t>V</w:t>
            </w:r>
            <w:r>
              <w:rPr>
                <w:b/>
              </w:rPr>
              <w:t>ision and Goals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the strategic business plan for team. What part of the hospital, campus or system will the team focus on? Common areas include energy/water, materials and waste, food, supply chain.  Consider subcommittees or existing teams.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team to st</w:t>
            </w:r>
            <w:r>
              <w:t xml:space="preserve">ay focused. 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anchor="si">
              <w:r>
                <w:rPr>
                  <w:color w:val="0000FF"/>
                  <w:u w:val="single"/>
                </w:rPr>
                <w:t>Sample</w:t>
              </w:r>
            </w:hyperlink>
            <w:r>
              <w:t xml:space="preserve"> Environmental Commitment Statements</w:t>
            </w: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Define Responsibilities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how meeting minutes will be captured, meeting fre</w:t>
            </w:r>
            <w:r>
              <w:t xml:space="preserve">quency, responsibilities of team members, management representative, etc. 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Clarifies expectations.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 Organizational Chart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Visually display functionality and responsibilities of the team.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Clarifies expectations.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jdgxs" w:colFirst="0" w:colLast="0"/>
            <w:bookmarkEnd w:id="1"/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Anchor Team to Environmental Policy or Stewardship Value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Determine and link team efforts to organization’s value of stewardship. 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Empowers team members and shows community. 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 Communication Plan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the Practice Greenhealth Marketing and Communication Plan, identify key stakeholders, both externally and internally. </w:t>
            </w:r>
          </w:p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Determine how the team will communicate findings, objectives and results to leadership, across the organization, to key committees </w:t>
            </w:r>
            <w:r>
              <w:t xml:space="preserve">and individuals and externally to the community. 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Helps to celebrate wins through social media, newsletters and any other selected method. 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>
                <w:rPr>
                  <w:color w:val="0000FF"/>
                  <w:u w:val="single"/>
                </w:rPr>
                <w:t>Marketing and Communication Plan Kit</w:t>
              </w:r>
            </w:hyperlink>
          </w:p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Employee Orientation </w:t>
            </w:r>
            <w:hyperlink r:id="rId13" w:anchor="si">
              <w:r>
                <w:rPr>
                  <w:color w:val="0000FF"/>
                  <w:u w:val="single"/>
                </w:rPr>
                <w:t>Slides</w:t>
              </w:r>
            </w:hyperlink>
            <w:r>
              <w:t xml:space="preserve"> and Script</w:t>
            </w: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Develop Dashboard of Energy KPIs 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what measures or Key Performance Indicators show how the energy team is winning (EUI, Energy Star Score, etc.)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and metrics reinforce progress/opportunities.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Training 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Encourage team members to go through content training programs from organizations like Practice Greenhealth and Health Care without Harm  to further develop skillsets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Promotes engagement and retention.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Conduct Baseline and Tracking </w:t>
            </w:r>
            <w:r>
              <w:rPr>
                <w:b/>
              </w:rPr>
              <w:lastRenderedPageBreak/>
              <w:t>Basel</w:t>
            </w:r>
            <w:r>
              <w:rPr>
                <w:b/>
              </w:rPr>
              <w:t>ine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Understand how sustainability is tracked with guidance from Practice Greenhealth and work to </w:t>
            </w:r>
            <w:r>
              <w:lastRenderedPageBreak/>
              <w:t>identify baseline and ongoing process for key areas.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Helps identify, develop and prioritize objectives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13.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 Strategic Sustainability Pl</w:t>
            </w:r>
            <w:r>
              <w:rPr>
                <w:b/>
              </w:rPr>
              <w:t xml:space="preserve">an &amp; Set  Objectives 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facility baseline data, opportunities and rank the order or implementation.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Formalized goal setting with standardized measures used in the sector help drive performance, keep the focus and benchmark.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4.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Develop, Pilot and Execute  Events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Quarterly, allow team members to participate in energy events like onsite audits or Earth Day celebrations.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Continues engagement and creates awareness.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E83" w:rsidTr="008F0E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8F0E83" w:rsidRDefault="00840B9D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5.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3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Report Out Results to Team and Senior Leaders</w:t>
            </w:r>
          </w:p>
        </w:tc>
        <w:tc>
          <w:tcPr>
            <w:tcW w:w="472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through communication, use existing platforms (management, meetings, etc.)</w:t>
            </w:r>
          </w:p>
        </w:tc>
        <w:tc>
          <w:tcPr>
            <w:tcW w:w="3300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how the team is “winning” or “losing”</w:t>
            </w:r>
          </w:p>
        </w:tc>
        <w:tc>
          <w:tcPr>
            <w:tcW w:w="1455" w:type="dxa"/>
            <w:vAlign w:val="center"/>
          </w:tcPr>
          <w:p w:rsidR="008F0E83" w:rsidRDefault="00840B9D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</w:t>
            </w:r>
          </w:p>
        </w:tc>
        <w:tc>
          <w:tcPr>
            <w:tcW w:w="3610" w:type="dxa"/>
            <w:vAlign w:val="center"/>
          </w:tcPr>
          <w:p w:rsidR="008F0E83" w:rsidRDefault="008F0E8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0E83" w:rsidRDefault="008F0E83">
      <w:pPr>
        <w:rPr>
          <w:b/>
          <w:sz w:val="28"/>
          <w:szCs w:val="28"/>
        </w:rPr>
      </w:pPr>
    </w:p>
    <w:sectPr w:rsidR="008F0E83">
      <w:footerReference w:type="default" r:id="rId14"/>
      <w:pgSz w:w="15840" w:h="12240"/>
      <w:pgMar w:top="720" w:right="288" w:bottom="720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D" w:rsidRDefault="00840B9D">
      <w:pPr>
        <w:spacing w:after="0" w:line="240" w:lineRule="auto"/>
      </w:pPr>
      <w:r>
        <w:separator/>
      </w:r>
    </w:p>
  </w:endnote>
  <w:endnote w:type="continuationSeparator" w:id="0">
    <w:p w:rsidR="00840B9D" w:rsidRDefault="0084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83" w:rsidRDefault="00840B9D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3568B"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Page</w:t>
    </w:r>
  </w:p>
  <w:p w:rsidR="008F0E83" w:rsidRDefault="008F0E8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D" w:rsidRDefault="00840B9D">
      <w:pPr>
        <w:spacing w:after="0" w:line="240" w:lineRule="auto"/>
      </w:pPr>
      <w:r>
        <w:separator/>
      </w:r>
    </w:p>
  </w:footnote>
  <w:footnote w:type="continuationSeparator" w:id="0">
    <w:p w:rsidR="00840B9D" w:rsidRDefault="0084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E83"/>
    <w:rsid w:val="0053568B"/>
    <w:rsid w:val="00840B9D"/>
    <w:rsid w:val="008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</w:rPr>
      <w:tblPr/>
      <w:tcPr>
        <w:tcBorders>
          <w:bottom w:val="single" w:sz="12" w:space="0" w:color="C2D69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C2D69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BF1D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BF1D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</w:rPr>
      <w:tblPr/>
      <w:tcPr>
        <w:tcBorders>
          <w:bottom w:val="single" w:sz="12" w:space="0" w:color="FAC09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FAC09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</w:rPr>
      <w:tblPr/>
      <w:tcPr>
        <w:tcBorders>
          <w:bottom w:val="single" w:sz="12" w:space="0" w:color="C2D69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C2D69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BF1D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BF1D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</w:rPr>
      <w:tblPr/>
      <w:tcPr>
        <w:tcBorders>
          <w:bottom w:val="single" w:sz="12" w:space="0" w:color="FAC09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FAC09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acticegreenhealth.org/tools-resources/hospital-member-toolki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racticegreenhealth.org/tools-resources/sustainability-marketing-plan-toolk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cticegreenhealth.org/tools-resources/hospital-member-toolki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practicegreenhealth.org/awards/resources/exemplary-documents/leadership&amp;sa=D&amp;ust=1488994353535000&amp;usg=AFQjCNEGqn_RZXPBGFKgLD61_mzeDVK-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cticegreenhealth.org/topics/leadership-infrastructure/building-sustainability-te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2017-03-09T20:15:00Z</dcterms:created>
  <dcterms:modified xsi:type="dcterms:W3CDTF">2017-03-09T20:15:00Z</dcterms:modified>
</cp:coreProperties>
</file>