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EB6D88" w14:textId="2B0564AB" w:rsidR="00F17FCE" w:rsidRDefault="00F17FCE" w:rsidP="00F17FCE">
      <w:pPr>
        <w:pStyle w:val="Title"/>
      </w:pPr>
      <w:r>
        <w:t>Dartmouth-Hitchcock Health</w:t>
      </w:r>
    </w:p>
    <w:p w14:paraId="38D5CA21" w14:textId="615006BE" w:rsidR="00F17FCE" w:rsidRDefault="001524B8" w:rsidP="00F17FCE">
      <w:pPr>
        <w:pStyle w:val="Title"/>
      </w:pPr>
      <w:r>
        <w:t>2020</w:t>
      </w:r>
      <w:r w:rsidR="00F17FCE">
        <w:t xml:space="preserve"> </w:t>
      </w:r>
      <w:r w:rsidR="0092054A">
        <w:t xml:space="preserve">Environmental </w:t>
      </w:r>
      <w:r w:rsidR="00F17FCE">
        <w:t xml:space="preserve">Sustainability Goals </w:t>
      </w:r>
    </w:p>
    <w:p w14:paraId="561F82A9" w14:textId="77777777" w:rsidR="00295A61" w:rsidRPr="00295A61" w:rsidRDefault="00295A61" w:rsidP="007F4E5F"/>
    <w:p w14:paraId="3FB54E0F" w14:textId="7414435F" w:rsidR="0092054A" w:rsidRDefault="00EE6BD3" w:rsidP="007F4E5F">
      <w:r w:rsidRPr="00EE6BD3">
        <w:t>Dartmouth-Hitchcock Health (D-HH) recognize</w:t>
      </w:r>
      <w:r>
        <w:t xml:space="preserve">s the fundamental connection between environmental and human health. </w:t>
      </w:r>
      <w:r w:rsidRPr="00EE6BD3">
        <w:t xml:space="preserve">In support of our mission to create a sustainable health system and </w:t>
      </w:r>
      <w:r>
        <w:t>improve population health, t</w:t>
      </w:r>
      <w:r w:rsidR="00984E46">
        <w:t xml:space="preserve">he </w:t>
      </w:r>
      <w:r w:rsidR="0092054A">
        <w:t xml:space="preserve">D-HH </w:t>
      </w:r>
      <w:r w:rsidR="00984E46">
        <w:t xml:space="preserve">Board of Trustees endorsed the </w:t>
      </w:r>
      <w:r w:rsidR="0092054A">
        <w:t xml:space="preserve">following set of </w:t>
      </w:r>
      <w:r w:rsidR="00295A61">
        <w:t xml:space="preserve">35 </w:t>
      </w:r>
      <w:r w:rsidR="0092054A">
        <w:t>goals</w:t>
      </w:r>
      <w:r w:rsidR="000A09F6">
        <w:t xml:space="preserve"> in December 2015. The goals, </w:t>
      </w:r>
      <w:r w:rsidR="00295A61">
        <w:t>organized into seven operational domains,</w:t>
      </w:r>
      <w:r w:rsidR="0092054A">
        <w:t xml:space="preserve"> </w:t>
      </w:r>
      <w:r w:rsidR="000A09F6">
        <w:t xml:space="preserve">are to be </w:t>
      </w:r>
      <w:r w:rsidR="00984E46">
        <w:t>accomplish</w:t>
      </w:r>
      <w:r w:rsidR="000A09F6">
        <w:t xml:space="preserve">ed </w:t>
      </w:r>
      <w:r w:rsidR="0092054A">
        <w:t>by the end of calendar year 2020</w:t>
      </w:r>
      <w:r w:rsidR="00984E46">
        <w:t>.</w:t>
      </w:r>
      <w:r w:rsidR="0092054A">
        <w:t xml:space="preserve"> </w:t>
      </w:r>
    </w:p>
    <w:sdt>
      <w:sdtPr>
        <w:rPr>
          <w:rFonts w:asciiTheme="minorHAnsi" w:eastAsiaTheme="minorHAnsi" w:hAnsiTheme="minorHAnsi" w:cstheme="minorBidi"/>
          <w:b w:val="0"/>
          <w:bCs w:val="0"/>
          <w:color w:val="auto"/>
          <w:sz w:val="22"/>
          <w:szCs w:val="22"/>
          <w:lang w:eastAsia="en-US"/>
        </w:rPr>
        <w:id w:val="-2059231218"/>
        <w:docPartObj>
          <w:docPartGallery w:val="Table of Contents"/>
          <w:docPartUnique/>
        </w:docPartObj>
      </w:sdtPr>
      <w:sdtEndPr>
        <w:rPr>
          <w:noProof/>
        </w:rPr>
      </w:sdtEndPr>
      <w:sdtContent>
        <w:p w14:paraId="7CB83804" w14:textId="77777777" w:rsidR="00F17FCE" w:rsidRDefault="00F17FCE" w:rsidP="00D833B6">
          <w:pPr>
            <w:pStyle w:val="TOCHeading"/>
            <w:spacing w:before="360"/>
          </w:pPr>
          <w:r>
            <w:t>Contents</w:t>
          </w:r>
        </w:p>
        <w:p w14:paraId="2DDE56F7" w14:textId="77777777" w:rsidR="009C2A67" w:rsidRDefault="00F17FCE">
          <w:pPr>
            <w:pStyle w:val="TOC1"/>
            <w:tabs>
              <w:tab w:val="right" w:leader="dot" w:pos="10214"/>
            </w:tabs>
            <w:rPr>
              <w:rFonts w:eastAsiaTheme="minorEastAsia"/>
              <w:noProof/>
            </w:rPr>
          </w:pPr>
          <w:r>
            <w:fldChar w:fldCharType="begin"/>
          </w:r>
          <w:r>
            <w:instrText xml:space="preserve"> TOC \o "1-3" \h \z \u </w:instrText>
          </w:r>
          <w:r>
            <w:fldChar w:fldCharType="separate"/>
          </w:r>
          <w:hyperlink w:anchor="_Toc440523754" w:history="1">
            <w:r w:rsidR="009C2A67" w:rsidRPr="0073714D">
              <w:rPr>
                <w:rStyle w:val="Hyperlink"/>
                <w:noProof/>
              </w:rPr>
              <w:t>Leaner Energy and Water</w:t>
            </w:r>
            <w:r w:rsidR="009C2A67">
              <w:rPr>
                <w:noProof/>
                <w:webHidden/>
              </w:rPr>
              <w:tab/>
            </w:r>
            <w:r w:rsidR="009C2A67">
              <w:rPr>
                <w:noProof/>
                <w:webHidden/>
              </w:rPr>
              <w:fldChar w:fldCharType="begin"/>
            </w:r>
            <w:r w:rsidR="009C2A67">
              <w:rPr>
                <w:noProof/>
                <w:webHidden/>
              </w:rPr>
              <w:instrText xml:space="preserve"> PAGEREF _Toc440523754 \h </w:instrText>
            </w:r>
            <w:r w:rsidR="009C2A67">
              <w:rPr>
                <w:noProof/>
                <w:webHidden/>
              </w:rPr>
            </w:r>
            <w:r w:rsidR="009C2A67">
              <w:rPr>
                <w:noProof/>
                <w:webHidden/>
              </w:rPr>
              <w:fldChar w:fldCharType="separate"/>
            </w:r>
            <w:r w:rsidR="009C2A67">
              <w:rPr>
                <w:noProof/>
                <w:webHidden/>
              </w:rPr>
              <w:t>1</w:t>
            </w:r>
            <w:r w:rsidR="009C2A67">
              <w:rPr>
                <w:noProof/>
                <w:webHidden/>
              </w:rPr>
              <w:fldChar w:fldCharType="end"/>
            </w:r>
          </w:hyperlink>
        </w:p>
        <w:p w14:paraId="45BB1BF2" w14:textId="77777777" w:rsidR="009C2A67" w:rsidRDefault="009C2A67">
          <w:pPr>
            <w:pStyle w:val="TOC1"/>
            <w:tabs>
              <w:tab w:val="right" w:leader="dot" w:pos="10214"/>
            </w:tabs>
            <w:rPr>
              <w:rFonts w:eastAsiaTheme="minorEastAsia"/>
              <w:noProof/>
            </w:rPr>
          </w:pPr>
          <w:hyperlink w:anchor="_Toc440523755" w:history="1">
            <w:r w:rsidRPr="0073714D">
              <w:rPr>
                <w:rStyle w:val="Hyperlink"/>
                <w:noProof/>
              </w:rPr>
              <w:t>Better Building</w:t>
            </w:r>
            <w:r>
              <w:rPr>
                <w:noProof/>
                <w:webHidden/>
              </w:rPr>
              <w:tab/>
            </w:r>
            <w:r>
              <w:rPr>
                <w:noProof/>
                <w:webHidden/>
              </w:rPr>
              <w:fldChar w:fldCharType="begin"/>
            </w:r>
            <w:r>
              <w:rPr>
                <w:noProof/>
                <w:webHidden/>
              </w:rPr>
              <w:instrText xml:space="preserve"> PAGEREF _Toc440523755 \h </w:instrText>
            </w:r>
            <w:r>
              <w:rPr>
                <w:noProof/>
                <w:webHidden/>
              </w:rPr>
            </w:r>
            <w:r>
              <w:rPr>
                <w:noProof/>
                <w:webHidden/>
              </w:rPr>
              <w:fldChar w:fldCharType="separate"/>
            </w:r>
            <w:r>
              <w:rPr>
                <w:noProof/>
                <w:webHidden/>
              </w:rPr>
              <w:t>2</w:t>
            </w:r>
            <w:r>
              <w:rPr>
                <w:noProof/>
                <w:webHidden/>
              </w:rPr>
              <w:fldChar w:fldCharType="end"/>
            </w:r>
          </w:hyperlink>
        </w:p>
        <w:p w14:paraId="362BE111" w14:textId="77777777" w:rsidR="009C2A67" w:rsidRDefault="009C2A67">
          <w:pPr>
            <w:pStyle w:val="TOC1"/>
            <w:tabs>
              <w:tab w:val="right" w:leader="dot" w:pos="10214"/>
            </w:tabs>
            <w:rPr>
              <w:rFonts w:eastAsiaTheme="minorEastAsia"/>
              <w:noProof/>
            </w:rPr>
          </w:pPr>
          <w:hyperlink w:anchor="_Toc440523756" w:history="1">
            <w:r w:rsidRPr="0073714D">
              <w:rPr>
                <w:rStyle w:val="Hyperlink"/>
                <w:noProof/>
              </w:rPr>
              <w:t>Cleaner Transportation</w:t>
            </w:r>
            <w:r>
              <w:rPr>
                <w:noProof/>
                <w:webHidden/>
              </w:rPr>
              <w:tab/>
            </w:r>
            <w:r>
              <w:rPr>
                <w:noProof/>
                <w:webHidden/>
              </w:rPr>
              <w:fldChar w:fldCharType="begin"/>
            </w:r>
            <w:r>
              <w:rPr>
                <w:noProof/>
                <w:webHidden/>
              </w:rPr>
              <w:instrText xml:space="preserve"> PAGEREF _Toc440523756 \h </w:instrText>
            </w:r>
            <w:r>
              <w:rPr>
                <w:noProof/>
                <w:webHidden/>
              </w:rPr>
            </w:r>
            <w:r>
              <w:rPr>
                <w:noProof/>
                <w:webHidden/>
              </w:rPr>
              <w:fldChar w:fldCharType="separate"/>
            </w:r>
            <w:r>
              <w:rPr>
                <w:noProof/>
                <w:webHidden/>
              </w:rPr>
              <w:t>4</w:t>
            </w:r>
            <w:r>
              <w:rPr>
                <w:noProof/>
                <w:webHidden/>
              </w:rPr>
              <w:fldChar w:fldCharType="end"/>
            </w:r>
          </w:hyperlink>
        </w:p>
        <w:p w14:paraId="4C660DF6" w14:textId="77777777" w:rsidR="009C2A67" w:rsidRDefault="009C2A67">
          <w:pPr>
            <w:pStyle w:val="TOC1"/>
            <w:tabs>
              <w:tab w:val="right" w:leader="dot" w:pos="10214"/>
            </w:tabs>
            <w:rPr>
              <w:rFonts w:eastAsiaTheme="minorEastAsia"/>
              <w:noProof/>
            </w:rPr>
          </w:pPr>
          <w:hyperlink w:anchor="_Toc440523757" w:history="1">
            <w:r w:rsidRPr="0073714D">
              <w:rPr>
                <w:rStyle w:val="Hyperlink"/>
                <w:noProof/>
              </w:rPr>
              <w:t>Smarter Purchasing</w:t>
            </w:r>
            <w:r>
              <w:rPr>
                <w:noProof/>
                <w:webHidden/>
              </w:rPr>
              <w:tab/>
            </w:r>
            <w:r>
              <w:rPr>
                <w:noProof/>
                <w:webHidden/>
              </w:rPr>
              <w:fldChar w:fldCharType="begin"/>
            </w:r>
            <w:r>
              <w:rPr>
                <w:noProof/>
                <w:webHidden/>
              </w:rPr>
              <w:instrText xml:space="preserve"> PAGEREF _Toc440523757 \h </w:instrText>
            </w:r>
            <w:r>
              <w:rPr>
                <w:noProof/>
                <w:webHidden/>
              </w:rPr>
            </w:r>
            <w:r>
              <w:rPr>
                <w:noProof/>
                <w:webHidden/>
              </w:rPr>
              <w:fldChar w:fldCharType="separate"/>
            </w:r>
            <w:r>
              <w:rPr>
                <w:noProof/>
                <w:webHidden/>
              </w:rPr>
              <w:t>5</w:t>
            </w:r>
            <w:r>
              <w:rPr>
                <w:noProof/>
                <w:webHidden/>
              </w:rPr>
              <w:fldChar w:fldCharType="end"/>
            </w:r>
          </w:hyperlink>
        </w:p>
        <w:p w14:paraId="02326678" w14:textId="77777777" w:rsidR="009C2A67" w:rsidRDefault="009C2A67">
          <w:pPr>
            <w:pStyle w:val="TOC1"/>
            <w:tabs>
              <w:tab w:val="right" w:leader="dot" w:pos="10214"/>
            </w:tabs>
            <w:rPr>
              <w:rFonts w:eastAsiaTheme="minorEastAsia"/>
              <w:noProof/>
            </w:rPr>
          </w:pPr>
          <w:hyperlink w:anchor="_Toc440523758" w:history="1">
            <w:r w:rsidRPr="0073714D">
              <w:rPr>
                <w:rStyle w:val="Hyperlink"/>
                <w:noProof/>
              </w:rPr>
              <w:t>Healthier Food</w:t>
            </w:r>
            <w:r>
              <w:rPr>
                <w:noProof/>
                <w:webHidden/>
              </w:rPr>
              <w:tab/>
            </w:r>
            <w:r>
              <w:rPr>
                <w:noProof/>
                <w:webHidden/>
              </w:rPr>
              <w:fldChar w:fldCharType="begin"/>
            </w:r>
            <w:r>
              <w:rPr>
                <w:noProof/>
                <w:webHidden/>
              </w:rPr>
              <w:instrText xml:space="preserve"> PAGEREF _Toc440523758 \h </w:instrText>
            </w:r>
            <w:r>
              <w:rPr>
                <w:noProof/>
                <w:webHidden/>
              </w:rPr>
            </w:r>
            <w:r>
              <w:rPr>
                <w:noProof/>
                <w:webHidden/>
              </w:rPr>
              <w:fldChar w:fldCharType="separate"/>
            </w:r>
            <w:r>
              <w:rPr>
                <w:noProof/>
                <w:webHidden/>
              </w:rPr>
              <w:t>7</w:t>
            </w:r>
            <w:r>
              <w:rPr>
                <w:noProof/>
                <w:webHidden/>
              </w:rPr>
              <w:fldChar w:fldCharType="end"/>
            </w:r>
          </w:hyperlink>
        </w:p>
        <w:p w14:paraId="6291C3BC" w14:textId="77777777" w:rsidR="009C2A67" w:rsidRDefault="009C2A67">
          <w:pPr>
            <w:pStyle w:val="TOC1"/>
            <w:tabs>
              <w:tab w:val="right" w:leader="dot" w:pos="10214"/>
            </w:tabs>
            <w:rPr>
              <w:rFonts w:eastAsiaTheme="minorEastAsia"/>
              <w:noProof/>
            </w:rPr>
          </w:pPr>
          <w:hyperlink w:anchor="_Toc440523759" w:history="1">
            <w:r w:rsidRPr="0073714D">
              <w:rPr>
                <w:rStyle w:val="Hyperlink"/>
                <w:noProof/>
              </w:rPr>
              <w:t>Less Waste</w:t>
            </w:r>
            <w:r>
              <w:rPr>
                <w:noProof/>
                <w:webHidden/>
              </w:rPr>
              <w:tab/>
            </w:r>
            <w:r>
              <w:rPr>
                <w:noProof/>
                <w:webHidden/>
              </w:rPr>
              <w:fldChar w:fldCharType="begin"/>
            </w:r>
            <w:r>
              <w:rPr>
                <w:noProof/>
                <w:webHidden/>
              </w:rPr>
              <w:instrText xml:space="preserve"> PAGEREF _Toc440523759 \h </w:instrText>
            </w:r>
            <w:r>
              <w:rPr>
                <w:noProof/>
                <w:webHidden/>
              </w:rPr>
            </w:r>
            <w:r>
              <w:rPr>
                <w:noProof/>
                <w:webHidden/>
              </w:rPr>
              <w:fldChar w:fldCharType="separate"/>
            </w:r>
            <w:r>
              <w:rPr>
                <w:noProof/>
                <w:webHidden/>
              </w:rPr>
              <w:t>8</w:t>
            </w:r>
            <w:r>
              <w:rPr>
                <w:noProof/>
                <w:webHidden/>
              </w:rPr>
              <w:fldChar w:fldCharType="end"/>
            </w:r>
          </w:hyperlink>
        </w:p>
        <w:p w14:paraId="0D0F01B5" w14:textId="77777777" w:rsidR="009C2A67" w:rsidRDefault="009C2A67">
          <w:pPr>
            <w:pStyle w:val="TOC1"/>
            <w:tabs>
              <w:tab w:val="right" w:leader="dot" w:pos="10214"/>
            </w:tabs>
            <w:rPr>
              <w:rFonts w:eastAsiaTheme="minorEastAsia"/>
              <w:noProof/>
            </w:rPr>
          </w:pPr>
          <w:hyperlink w:anchor="_Toc440523760" w:history="1">
            <w:r w:rsidRPr="0073714D">
              <w:rPr>
                <w:rStyle w:val="Hyperlink"/>
                <w:noProof/>
              </w:rPr>
              <w:t>Greener Culture</w:t>
            </w:r>
            <w:r>
              <w:rPr>
                <w:noProof/>
                <w:webHidden/>
              </w:rPr>
              <w:tab/>
            </w:r>
            <w:r>
              <w:rPr>
                <w:noProof/>
                <w:webHidden/>
              </w:rPr>
              <w:fldChar w:fldCharType="begin"/>
            </w:r>
            <w:r>
              <w:rPr>
                <w:noProof/>
                <w:webHidden/>
              </w:rPr>
              <w:instrText xml:space="preserve"> PAGEREF _Toc440523760 \h </w:instrText>
            </w:r>
            <w:r>
              <w:rPr>
                <w:noProof/>
                <w:webHidden/>
              </w:rPr>
            </w:r>
            <w:r>
              <w:rPr>
                <w:noProof/>
                <w:webHidden/>
              </w:rPr>
              <w:fldChar w:fldCharType="separate"/>
            </w:r>
            <w:r>
              <w:rPr>
                <w:noProof/>
                <w:webHidden/>
              </w:rPr>
              <w:t>9</w:t>
            </w:r>
            <w:r>
              <w:rPr>
                <w:noProof/>
                <w:webHidden/>
              </w:rPr>
              <w:fldChar w:fldCharType="end"/>
            </w:r>
          </w:hyperlink>
        </w:p>
        <w:p w14:paraId="13C13148" w14:textId="77777777" w:rsidR="009C2A67" w:rsidRDefault="009C2A67">
          <w:pPr>
            <w:pStyle w:val="TOC1"/>
            <w:tabs>
              <w:tab w:val="right" w:leader="dot" w:pos="10214"/>
            </w:tabs>
            <w:rPr>
              <w:rFonts w:eastAsiaTheme="minorEastAsia"/>
              <w:noProof/>
            </w:rPr>
          </w:pPr>
          <w:hyperlink w:anchor="_Toc440523761" w:history="1">
            <w:r w:rsidRPr="0073714D">
              <w:rPr>
                <w:rStyle w:val="Hyperlink"/>
                <w:noProof/>
                <w:spacing w:val="-10"/>
                <w:kern w:val="28"/>
              </w:rPr>
              <w:t>Summary Table</w:t>
            </w:r>
            <w:r>
              <w:rPr>
                <w:noProof/>
                <w:webHidden/>
              </w:rPr>
              <w:tab/>
            </w:r>
            <w:r>
              <w:rPr>
                <w:noProof/>
                <w:webHidden/>
              </w:rPr>
              <w:fldChar w:fldCharType="begin"/>
            </w:r>
            <w:r>
              <w:rPr>
                <w:noProof/>
                <w:webHidden/>
              </w:rPr>
              <w:instrText xml:space="preserve"> PAGEREF _Toc440523761 \h </w:instrText>
            </w:r>
            <w:r>
              <w:rPr>
                <w:noProof/>
                <w:webHidden/>
              </w:rPr>
            </w:r>
            <w:r>
              <w:rPr>
                <w:noProof/>
                <w:webHidden/>
              </w:rPr>
              <w:fldChar w:fldCharType="separate"/>
            </w:r>
            <w:r>
              <w:rPr>
                <w:noProof/>
                <w:webHidden/>
              </w:rPr>
              <w:t>11</w:t>
            </w:r>
            <w:r>
              <w:rPr>
                <w:noProof/>
                <w:webHidden/>
              </w:rPr>
              <w:fldChar w:fldCharType="end"/>
            </w:r>
          </w:hyperlink>
        </w:p>
        <w:p w14:paraId="46C20B91" w14:textId="77777777" w:rsidR="00F17FCE" w:rsidRDefault="00F17FCE" w:rsidP="00F17FCE">
          <w:pPr>
            <w:rPr>
              <w:noProof/>
            </w:rPr>
          </w:pPr>
          <w:r>
            <w:rPr>
              <w:b/>
              <w:bCs/>
              <w:noProof/>
            </w:rPr>
            <w:fldChar w:fldCharType="end"/>
          </w:r>
        </w:p>
      </w:sdtContent>
    </w:sdt>
    <w:p w14:paraId="1D428FB2" w14:textId="462A552E" w:rsidR="00AB1D15" w:rsidRDefault="00AB1D15" w:rsidP="00B97421">
      <w:pPr>
        <w:pStyle w:val="Heading1"/>
        <w:spacing w:before="0"/>
      </w:pPr>
      <w:bookmarkStart w:id="0" w:name="_Toc440523754"/>
      <w:r w:rsidRPr="00566CF0">
        <w:t>Leaner Energy</w:t>
      </w:r>
      <w:r w:rsidR="00437350">
        <w:t xml:space="preserve"> and Water</w:t>
      </w:r>
      <w:bookmarkEnd w:id="0"/>
      <w:r w:rsidRPr="00566CF0">
        <w:t xml:space="preserve"> </w:t>
      </w:r>
    </w:p>
    <w:p w14:paraId="1D8F6739" w14:textId="2CF8752F" w:rsidR="00B97421" w:rsidRDefault="00B97421" w:rsidP="00B97421">
      <w:r w:rsidRPr="005838BA">
        <w:t xml:space="preserve">Hospitals are energy-intensive facilities. </w:t>
      </w:r>
      <w:r>
        <w:t>T</w:t>
      </w:r>
      <w:r w:rsidRPr="005838BA">
        <w:t>hey are in use 24 hours per day</w:t>
      </w:r>
      <w:r>
        <w:t>,</w:t>
      </w:r>
      <w:r w:rsidRPr="005838BA">
        <w:t xml:space="preserve"> 365 days per year. Climate control through heating, cooling, and ventilation requires significant energy, as does lighting, laundry services, food preparation, medical procedures, and sterilization. As a result, hospitals are among the most energy intensi</w:t>
      </w:r>
      <w:r w:rsidR="007D4054">
        <w:t xml:space="preserve">ve </w:t>
      </w:r>
      <w:r w:rsidRPr="005838BA">
        <w:t>commercial spaces</w:t>
      </w:r>
      <w:r w:rsidR="00437350">
        <w:t>,</w:t>
      </w:r>
      <w:r w:rsidRPr="005838BA">
        <w:t xml:space="preserve"> </w:t>
      </w:r>
      <w:r w:rsidR="007D4054">
        <w:t>using</w:t>
      </w:r>
      <w:r w:rsidRPr="005838BA">
        <w:t xml:space="preserve"> about 2.5 times the amount of energy used in a commercial office on a square foot basis.</w:t>
      </w:r>
      <w:r>
        <w:t xml:space="preserve"> (</w:t>
      </w:r>
      <w:r w:rsidRPr="001F4139">
        <w:rPr>
          <w:i/>
        </w:rPr>
        <w:t>Energy Information and Resources for Hospitals in New Hampshire</w:t>
      </w:r>
      <w:r>
        <w:t>, April 2015)</w:t>
      </w:r>
    </w:p>
    <w:p w14:paraId="2177BB18" w14:textId="77777777" w:rsidR="00B97421" w:rsidRDefault="00B97421" w:rsidP="00B97421">
      <w:pPr>
        <w:spacing w:line="180" w:lineRule="auto"/>
      </w:pPr>
    </w:p>
    <w:p w14:paraId="095142D7" w14:textId="77777777" w:rsidR="00B97421" w:rsidRPr="001F4139" w:rsidRDefault="00B97421" w:rsidP="00B97421">
      <w:r w:rsidRPr="005838BA">
        <w:t>Protecting the health of building occupants and the communities is</w:t>
      </w:r>
      <w:r>
        <w:t xml:space="preserve"> </w:t>
      </w:r>
      <w:r w:rsidRPr="005838BA">
        <w:t>fundamental to the missio</w:t>
      </w:r>
      <w:r>
        <w:t xml:space="preserve">n of health care organizations. </w:t>
      </w:r>
      <w:r w:rsidRPr="005838BA">
        <w:t>All fossil fuel sources release CO2,</w:t>
      </w:r>
      <w:r>
        <w:t xml:space="preserve"> </w:t>
      </w:r>
      <w:r w:rsidRPr="005838BA">
        <w:t>sulfur dioxide (SO2), nitrogen oxide (NOx), and mercury among other</w:t>
      </w:r>
      <w:r>
        <w:t xml:space="preserve"> </w:t>
      </w:r>
      <w:r w:rsidRPr="005838BA">
        <w:t>pollutants, though admittedly they are not equivalent in their impacts.</w:t>
      </w:r>
      <w:r>
        <w:t xml:space="preserve"> </w:t>
      </w:r>
      <w:r w:rsidRPr="005838BA">
        <w:t>Practice</w:t>
      </w:r>
      <w:r>
        <w:t xml:space="preserve"> </w:t>
      </w:r>
      <w:proofErr w:type="spellStart"/>
      <w:r w:rsidRPr="005838BA">
        <w:t>Greenhealth</w:t>
      </w:r>
      <w:r>
        <w:t>’</w:t>
      </w:r>
      <w:r w:rsidRPr="005838BA">
        <w:t>s</w:t>
      </w:r>
      <w:proofErr w:type="spellEnd"/>
      <w:r w:rsidRPr="005838BA">
        <w:t xml:space="preserve"> Energy Impact Cal</w:t>
      </w:r>
      <w:r>
        <w:t xml:space="preserve">culator estimates that premature </w:t>
      </w:r>
      <w:r w:rsidRPr="005838BA">
        <w:t>deaths, chronic bronch</w:t>
      </w:r>
      <w:r>
        <w:t xml:space="preserve">itis/ER visits, asthma attacks, </w:t>
      </w:r>
      <w:r w:rsidRPr="005838BA">
        <w:t>respiratory</w:t>
      </w:r>
      <w:r>
        <w:t xml:space="preserve"> </w:t>
      </w:r>
      <w:r w:rsidRPr="005838BA">
        <w:t>symptoms, mercury impacts, and lost work days</w:t>
      </w:r>
      <w:r>
        <w:t xml:space="preserve"> </w:t>
      </w:r>
      <w:r w:rsidRPr="005838BA">
        <w:t>from health care</w:t>
      </w:r>
      <w:r>
        <w:t>’</w:t>
      </w:r>
      <w:r w:rsidRPr="005838BA">
        <w:t xml:space="preserve">s 73 billion kWh </w:t>
      </w:r>
      <w:r>
        <w:t xml:space="preserve">energy </w:t>
      </w:r>
      <w:r w:rsidRPr="005838BA">
        <w:t>use cost society</w:t>
      </w:r>
      <w:r>
        <w:t xml:space="preserve"> </w:t>
      </w:r>
      <w:r w:rsidRPr="005838BA">
        <w:t>over $5 billion annually and $600 million in</w:t>
      </w:r>
      <w:r>
        <w:t xml:space="preserve"> </w:t>
      </w:r>
      <w:r w:rsidRPr="005838BA">
        <w:t>treatment costs</w:t>
      </w:r>
      <w:r>
        <w:t xml:space="preserve">. </w:t>
      </w:r>
    </w:p>
    <w:p w14:paraId="4419E86B" w14:textId="77777777" w:rsidR="00414875" w:rsidRPr="00CE7119" w:rsidRDefault="00414875" w:rsidP="00272FC3">
      <w:pPr>
        <w:tabs>
          <w:tab w:val="left" w:pos="360"/>
        </w:tabs>
        <w:contextualSpacing/>
      </w:pPr>
    </w:p>
    <w:p w14:paraId="33AC21FB" w14:textId="77777777" w:rsidR="00B97421" w:rsidRPr="00B97421" w:rsidRDefault="00B97421" w:rsidP="00272FC3">
      <w:pPr>
        <w:tabs>
          <w:tab w:val="left" w:pos="360"/>
        </w:tabs>
        <w:contextualSpacing/>
        <w:rPr>
          <w:u w:val="single"/>
        </w:rPr>
      </w:pPr>
      <w:r w:rsidRPr="00B97421">
        <w:rPr>
          <w:u w:val="single"/>
        </w:rPr>
        <w:t>Goal Areas</w:t>
      </w:r>
    </w:p>
    <w:p w14:paraId="6DA06842" w14:textId="60CE94E0" w:rsidR="00AB1D15" w:rsidRDefault="00AB1D15" w:rsidP="00272FC3">
      <w:pPr>
        <w:tabs>
          <w:tab w:val="left" w:pos="360"/>
        </w:tabs>
        <w:contextualSpacing/>
      </w:pPr>
      <w:r>
        <w:t>1.</w:t>
      </w:r>
      <w:r>
        <w:tab/>
      </w:r>
      <w:r w:rsidR="00437350" w:rsidRPr="00437350">
        <w:t>GREENHOUSE GAS (GHG)</w:t>
      </w:r>
      <w:r w:rsidR="00437350" w:rsidRPr="008904BE">
        <w:t xml:space="preserve"> EMISSIONS REDUCTION</w:t>
      </w:r>
      <w:r>
        <w:cr/>
        <w:t>2.</w:t>
      </w:r>
      <w:r>
        <w:tab/>
      </w:r>
      <w:r w:rsidR="00437350" w:rsidRPr="008904BE">
        <w:t>ENERGY EFFICIENCY AND CONSERVATION</w:t>
      </w:r>
      <w:r>
        <w:cr/>
        <w:t xml:space="preserve">3. </w:t>
      </w:r>
      <w:r>
        <w:tab/>
      </w:r>
      <w:r w:rsidR="00437350" w:rsidRPr="008904BE">
        <w:t>WATER EFFICIENCY AND CONSERVATION</w:t>
      </w:r>
    </w:p>
    <w:p w14:paraId="138B6297" w14:textId="69D0D131" w:rsidR="00DF2F36" w:rsidRDefault="00DF2F36" w:rsidP="00272FC3">
      <w:pPr>
        <w:tabs>
          <w:tab w:val="left" w:pos="360"/>
        </w:tabs>
        <w:contextualSpacing/>
      </w:pPr>
      <w:r>
        <w:br w:type="page"/>
      </w:r>
    </w:p>
    <w:tbl>
      <w:tblPr>
        <w:tblStyle w:val="TableGrid"/>
        <w:tblW w:w="10255" w:type="dxa"/>
        <w:tblLook w:val="04A0" w:firstRow="1" w:lastRow="0" w:firstColumn="1" w:lastColumn="0" w:noHBand="0" w:noVBand="1"/>
      </w:tblPr>
      <w:tblGrid>
        <w:gridCol w:w="10255"/>
      </w:tblGrid>
      <w:tr w:rsidR="00AB1D15" w14:paraId="381BDFC1" w14:textId="77777777" w:rsidTr="0030702F">
        <w:tc>
          <w:tcPr>
            <w:tcW w:w="10255" w:type="dxa"/>
          </w:tcPr>
          <w:p w14:paraId="6BC322D3" w14:textId="51726779" w:rsidR="00AB1D15" w:rsidRPr="001F4139" w:rsidRDefault="00AB1D15" w:rsidP="0030702F">
            <w:pPr>
              <w:rPr>
                <w:b/>
              </w:rPr>
            </w:pPr>
            <w:bookmarkStart w:id="1" w:name="GHGEmissions"/>
            <w:bookmarkEnd w:id="1"/>
            <w:r>
              <w:lastRenderedPageBreak/>
              <w:t xml:space="preserve">GOAL AREA 1: </w:t>
            </w:r>
            <w:r w:rsidR="00437350">
              <w:t>GREENHOUSE GAS (</w:t>
            </w:r>
            <w:r w:rsidRPr="003B3F98">
              <w:t>GHG</w:t>
            </w:r>
            <w:r w:rsidR="00437350">
              <w:t>)</w:t>
            </w:r>
            <w:r w:rsidRPr="003B3F98">
              <w:t xml:space="preserve"> EMISSIONS REDUCTION</w:t>
            </w:r>
          </w:p>
        </w:tc>
      </w:tr>
      <w:tr w:rsidR="00AB1D15" w14:paraId="2EC50E74" w14:textId="77777777" w:rsidTr="0030702F">
        <w:tc>
          <w:tcPr>
            <w:tcW w:w="10255" w:type="dxa"/>
          </w:tcPr>
          <w:p w14:paraId="2063C68F" w14:textId="77777777" w:rsidR="00AB1D15" w:rsidRPr="003B3F98" w:rsidRDefault="00AB1D15" w:rsidP="0030702F">
            <w:pPr>
              <w:rPr>
                <w:b/>
                <w:color w:val="8064A2" w:themeColor="accent4"/>
              </w:rPr>
            </w:pPr>
            <w:r w:rsidRPr="003B3F98">
              <w:rPr>
                <w:b/>
              </w:rPr>
              <w:t xml:space="preserve">Reduce GHG emissions by 25%* through adoption of energy efficiency and conservation measures, and replacing fossil fuels with renewable sources. </w:t>
            </w:r>
          </w:p>
        </w:tc>
      </w:tr>
    </w:tbl>
    <w:p w14:paraId="7892E498" w14:textId="26498B00" w:rsidR="002C232E" w:rsidRPr="00EE73CC" w:rsidRDefault="00AB1D15" w:rsidP="00EE73CC">
      <w:pPr>
        <w:spacing w:before="60" w:after="60"/>
        <w:rPr>
          <w:rFonts w:cstheme="minorHAnsi"/>
        </w:rPr>
      </w:pPr>
      <w:r w:rsidRPr="00471742">
        <w:rPr>
          <w:rFonts w:cstheme="minorHAnsi"/>
        </w:rPr>
        <w:t xml:space="preserve"> *</w:t>
      </w:r>
      <w:r w:rsidR="00FE2012">
        <w:rPr>
          <w:rFonts w:cstheme="minorHAnsi"/>
        </w:rPr>
        <w:t xml:space="preserve">Based on </w:t>
      </w:r>
      <w:r w:rsidRPr="00471742">
        <w:rPr>
          <w:rFonts w:cstheme="minorHAnsi"/>
        </w:rPr>
        <w:t>2010 baseline</w:t>
      </w:r>
      <w:r w:rsidR="00FE2012">
        <w:rPr>
          <w:rFonts w:cstheme="minorHAnsi"/>
        </w:rPr>
        <w:t>.</w:t>
      </w:r>
    </w:p>
    <w:p w14:paraId="5C0A9E17" w14:textId="524057BA" w:rsidR="00AB1D15" w:rsidRPr="00F92A7D" w:rsidRDefault="00AB1D15" w:rsidP="00AB1D15">
      <w:r w:rsidRPr="00084F2B">
        <w:rPr>
          <w:u w:val="single"/>
        </w:rPr>
        <w:t>Rationale</w:t>
      </w:r>
      <w:r>
        <w:t xml:space="preserve">: </w:t>
      </w:r>
      <w:r w:rsidRPr="00F92A7D">
        <w:t>According to the World Health Organization (WHO), climate change has a range of complex health impacts, including temperature-related illness and death, injuries and illnesses due to extreme weather events, the spread of infectious disease vectors, increases in water borne illnesses, and wide-rang</w:t>
      </w:r>
      <w:r>
        <w:t xml:space="preserve">ing impacts from air pollution. </w:t>
      </w:r>
      <w:r w:rsidRPr="00F92A7D">
        <w:t xml:space="preserve">Overall, the need to treat illness and disease due to climate-related changes in our environment will continue to increase. </w:t>
      </w:r>
      <w:r>
        <w:t>(</w:t>
      </w:r>
      <w:hyperlink r:id="rId7" w:history="1">
        <w:r w:rsidRPr="00F92A7D">
          <w:rPr>
            <w:rStyle w:val="Hyperlink"/>
            <w:i/>
          </w:rPr>
          <w:t>Climate and Health</w:t>
        </w:r>
      </w:hyperlink>
      <w:r>
        <w:t>)</w:t>
      </w:r>
    </w:p>
    <w:p w14:paraId="1E5FD1E4" w14:textId="77777777" w:rsidR="00AB1D15" w:rsidRDefault="00AB1D15" w:rsidP="00AB1D15">
      <w:pPr>
        <w:spacing w:line="180" w:lineRule="auto"/>
      </w:pPr>
    </w:p>
    <w:p w14:paraId="5D03E321" w14:textId="77777777" w:rsidR="00AB1D15" w:rsidRDefault="00AB1D15" w:rsidP="00AB1D15">
      <w:pPr>
        <w:rPr>
          <w:shd w:val="clear" w:color="auto" w:fill="FFFFFF"/>
        </w:rPr>
      </w:pPr>
      <w:r w:rsidRPr="00FD2100">
        <w:rPr>
          <w:shd w:val="clear" w:color="auto" w:fill="FFFFFF"/>
        </w:rPr>
        <w:t>In its</w:t>
      </w:r>
      <w:r w:rsidRPr="00FD2100">
        <w:rPr>
          <w:rStyle w:val="apple-converted-space"/>
          <w:shd w:val="clear" w:color="auto" w:fill="FFFFFF"/>
        </w:rPr>
        <w:t> </w:t>
      </w:r>
      <w:hyperlink r:id="rId8" w:tgtFrame="_blank" w:history="1">
        <w:r w:rsidRPr="00FD2100">
          <w:rPr>
            <w:rStyle w:val="Hyperlink"/>
            <w:shd w:val="clear" w:color="auto" w:fill="FFFFFF"/>
          </w:rPr>
          <w:t>fourth climate assessment report</w:t>
        </w:r>
      </w:hyperlink>
      <w:r w:rsidRPr="00FD2100">
        <w:rPr>
          <w:shd w:val="clear" w:color="auto" w:fill="FFFFFF"/>
        </w:rPr>
        <w:t xml:space="preserve">, the U.N. Intergovernmental Panel on Climate Change – which represents our best scientific understanding of climate change – found that we need to reduce our greenhouse gas emissions 25-40% below 1990 levels by 2020 and 80% by 2050. If we fail to reach these targets, we will face runaway climate consequences that will challenge our ability to survive on the planet. </w:t>
      </w:r>
      <w:r w:rsidRPr="00FD2100">
        <w:rPr>
          <w:color w:val="333333"/>
          <w:shd w:val="clear" w:color="auto" w:fill="FFFFFF"/>
        </w:rPr>
        <w:t>(</w:t>
      </w:r>
      <w:hyperlink r:id="rId9" w:history="1">
        <w:r w:rsidRPr="00FD2100">
          <w:rPr>
            <w:rStyle w:val="Hyperlink"/>
            <w:i/>
            <w:shd w:val="clear" w:color="auto" w:fill="FFFFFF"/>
          </w:rPr>
          <w:t>100 Years Too Late</w:t>
        </w:r>
      </w:hyperlink>
      <w:r>
        <w:rPr>
          <w:rStyle w:val="Hyperlink"/>
          <w:i/>
          <w:shd w:val="clear" w:color="auto" w:fill="FFFFFF"/>
        </w:rPr>
        <w:t xml:space="preserve"> </w:t>
      </w:r>
      <w:r>
        <w:rPr>
          <w:rStyle w:val="Hyperlink"/>
          <w:shd w:val="clear" w:color="auto" w:fill="FFFFFF"/>
        </w:rPr>
        <w:t>6/9/15</w:t>
      </w:r>
      <w:r w:rsidRPr="00FD2100">
        <w:rPr>
          <w:shd w:val="clear" w:color="auto" w:fill="FFFFFF"/>
        </w:rPr>
        <w:t>)</w:t>
      </w:r>
    </w:p>
    <w:p w14:paraId="792D57E1" w14:textId="77777777" w:rsidR="00AB1D15" w:rsidRDefault="00AB1D15" w:rsidP="00AB1D15">
      <w:pPr>
        <w:spacing w:line="360" w:lineRule="auto"/>
        <w:ind w:left="-86"/>
        <w:rPr>
          <w:shd w:val="clear" w:color="auto" w:fill="FFFFFF"/>
        </w:rPr>
      </w:pPr>
    </w:p>
    <w:tbl>
      <w:tblPr>
        <w:tblStyle w:val="TableGrid"/>
        <w:tblW w:w="10345" w:type="dxa"/>
        <w:tblLook w:val="04A0" w:firstRow="1" w:lastRow="0" w:firstColumn="1" w:lastColumn="0" w:noHBand="0" w:noVBand="1"/>
      </w:tblPr>
      <w:tblGrid>
        <w:gridCol w:w="10345"/>
      </w:tblGrid>
      <w:tr w:rsidR="00AB1D15" w14:paraId="702AC4AD" w14:textId="77777777" w:rsidTr="0030702F">
        <w:tc>
          <w:tcPr>
            <w:tcW w:w="10345" w:type="dxa"/>
          </w:tcPr>
          <w:p w14:paraId="5B914C58" w14:textId="77777777" w:rsidR="00AB1D15" w:rsidRDefault="00AB1D15" w:rsidP="0030702F">
            <w:bookmarkStart w:id="2" w:name="EUI"/>
            <w:bookmarkEnd w:id="2"/>
            <w:r>
              <w:t xml:space="preserve">GOAL AREA 2: </w:t>
            </w:r>
            <w:r w:rsidRPr="003B3F98">
              <w:t>ENERGY EFFICIENCY AND CONSERVATION</w:t>
            </w:r>
          </w:p>
        </w:tc>
      </w:tr>
      <w:tr w:rsidR="00AB1D15" w14:paraId="1D7DFA82" w14:textId="77777777" w:rsidTr="0030702F">
        <w:tc>
          <w:tcPr>
            <w:tcW w:w="10345" w:type="dxa"/>
          </w:tcPr>
          <w:p w14:paraId="33C81297" w14:textId="50358982" w:rsidR="00AB1D15" w:rsidRPr="003B3F98" w:rsidRDefault="00AB1D15" w:rsidP="0030702F">
            <w:pPr>
              <w:rPr>
                <w:b/>
              </w:rPr>
            </w:pPr>
            <w:r w:rsidRPr="00632879">
              <w:rPr>
                <w:b/>
              </w:rPr>
              <w:t>Achieve 20%</w:t>
            </w:r>
            <w:r w:rsidRPr="003B3F98">
              <w:rPr>
                <w:b/>
              </w:rPr>
              <w:t xml:space="preserve"> reduction in</w:t>
            </w:r>
            <w:r w:rsidR="00365FD0">
              <w:rPr>
                <w:b/>
              </w:rPr>
              <w:t xml:space="preserve"> Energy Use Intensity</w:t>
            </w:r>
            <w:r w:rsidRPr="003B3F98">
              <w:rPr>
                <w:b/>
              </w:rPr>
              <w:t xml:space="preserve"> </w:t>
            </w:r>
            <w:r w:rsidR="00365FD0">
              <w:rPr>
                <w:b/>
              </w:rPr>
              <w:t>(</w:t>
            </w:r>
            <w:r w:rsidRPr="003B3F98">
              <w:rPr>
                <w:b/>
              </w:rPr>
              <w:t>EUI</w:t>
            </w:r>
            <w:r w:rsidR="00365FD0">
              <w:rPr>
                <w:b/>
              </w:rPr>
              <w:t>)</w:t>
            </w:r>
            <w:r w:rsidR="00632879">
              <w:rPr>
                <w:b/>
              </w:rPr>
              <w:t>.</w:t>
            </w:r>
            <w:r w:rsidRPr="003B3F98">
              <w:rPr>
                <w:b/>
              </w:rPr>
              <w:t>*</w:t>
            </w:r>
          </w:p>
        </w:tc>
      </w:tr>
    </w:tbl>
    <w:p w14:paraId="199B26ED" w14:textId="7995839D" w:rsidR="00FE2012" w:rsidRDefault="00AB1D15" w:rsidP="00EE73CC">
      <w:pPr>
        <w:spacing w:before="60" w:after="60"/>
        <w:rPr>
          <w:rFonts w:cstheme="minorHAnsi"/>
        </w:rPr>
      </w:pPr>
      <w:r w:rsidRPr="00471742">
        <w:rPr>
          <w:rFonts w:cstheme="minorHAnsi"/>
        </w:rPr>
        <w:t>*</w:t>
      </w:r>
      <w:r w:rsidR="009D68B7" w:rsidRPr="009D68B7">
        <w:rPr>
          <w:rFonts w:cstheme="minorHAnsi"/>
        </w:rPr>
        <w:t xml:space="preserve"> </w:t>
      </w:r>
      <w:r w:rsidR="009D68B7">
        <w:rPr>
          <w:rFonts w:cstheme="minorHAnsi"/>
        </w:rPr>
        <w:t xml:space="preserve">Based on 2010 baseline. </w:t>
      </w:r>
      <w:r w:rsidR="00FE2012">
        <w:rPr>
          <w:rFonts w:cstheme="minorHAnsi"/>
        </w:rPr>
        <w:t xml:space="preserve">EUI is the amount of </w:t>
      </w:r>
      <w:r w:rsidR="00FE2012" w:rsidRPr="00FE2012">
        <w:rPr>
          <w:rFonts w:cstheme="minorHAnsi"/>
        </w:rPr>
        <w:t>energy used per square foot of building footprint per year</w:t>
      </w:r>
      <w:r w:rsidR="00FE2012">
        <w:rPr>
          <w:rFonts w:cstheme="minorHAnsi"/>
        </w:rPr>
        <w:t xml:space="preserve">. </w:t>
      </w:r>
    </w:p>
    <w:p w14:paraId="6CA36580" w14:textId="15870B32" w:rsidR="00632879" w:rsidRDefault="00632879" w:rsidP="00FE2012">
      <w:pPr>
        <w:rPr>
          <w:rFonts w:cstheme="minorHAnsi"/>
        </w:rPr>
      </w:pPr>
      <w:r w:rsidRPr="00315FDD">
        <w:rPr>
          <w:rFonts w:cstheme="minorHAnsi"/>
          <w:u w:val="single"/>
        </w:rPr>
        <w:t>Rationale</w:t>
      </w:r>
      <w:r w:rsidR="007F4E5F">
        <w:rPr>
          <w:rFonts w:cstheme="minorHAnsi"/>
        </w:rPr>
        <w:t xml:space="preserve">: </w:t>
      </w:r>
      <w:r w:rsidRPr="00315FDD">
        <w:rPr>
          <w:rFonts w:cstheme="minorHAnsi"/>
        </w:rPr>
        <w:t>When compared against conventional costs (i.e., fuel and electricity) and renewable energy investments, energy efficiency is recognized as being the most cost effective and stable way to save energy and money. For example, a study by ACEEE (American Council for an Energy Efficient Economy) that examined energy efficiency programs in 20 states from 2009-2012 determined the average cost for electrical energy efficiency measures was $0.028 per kilowatt hour (kWh). Comparatively, the average price for commercially billed electricity in New Hampshire as of October 2014 was $0.138 per kWh. Energy efficiency is frequently the most cost-effective solution to reduce consumption.  (</w:t>
      </w:r>
      <w:hyperlink r:id="rId10" w:history="1">
        <w:r>
          <w:rPr>
            <w:rStyle w:val="Hyperlink"/>
            <w:rFonts w:cstheme="minorHAnsi"/>
            <w:i/>
          </w:rPr>
          <w:t xml:space="preserve">Energy Information for Hospitals in New Hampshire, </w:t>
        </w:r>
        <w:r>
          <w:rPr>
            <w:rStyle w:val="Hyperlink"/>
            <w:rFonts w:cstheme="minorHAnsi"/>
          </w:rPr>
          <w:t>April 2015</w:t>
        </w:r>
      </w:hyperlink>
      <w:r w:rsidRPr="00315FDD">
        <w:rPr>
          <w:rFonts w:cstheme="minorHAnsi"/>
        </w:rPr>
        <w:t>)</w:t>
      </w:r>
    </w:p>
    <w:p w14:paraId="5379C780" w14:textId="77777777" w:rsidR="00632879" w:rsidRPr="00315FDD" w:rsidRDefault="00632879" w:rsidP="00632879">
      <w:pPr>
        <w:ind w:left="-90"/>
        <w:rPr>
          <w:rFonts w:cstheme="minorHAnsi"/>
        </w:rPr>
      </w:pPr>
    </w:p>
    <w:tbl>
      <w:tblPr>
        <w:tblStyle w:val="TableGrid"/>
        <w:tblW w:w="10345" w:type="dxa"/>
        <w:tblLook w:val="04A0" w:firstRow="1" w:lastRow="0" w:firstColumn="1" w:lastColumn="0" w:noHBand="0" w:noVBand="1"/>
      </w:tblPr>
      <w:tblGrid>
        <w:gridCol w:w="10345"/>
      </w:tblGrid>
      <w:tr w:rsidR="00632879" w14:paraId="23217A85" w14:textId="77777777" w:rsidTr="0030702F">
        <w:tc>
          <w:tcPr>
            <w:tcW w:w="10345" w:type="dxa"/>
          </w:tcPr>
          <w:p w14:paraId="01E757D7" w14:textId="77777777" w:rsidR="00632879" w:rsidRDefault="00632879" w:rsidP="00632879">
            <w:bookmarkStart w:id="3" w:name="Water"/>
            <w:bookmarkEnd w:id="3"/>
            <w:r>
              <w:t>GOAL AREA 3: WATER</w:t>
            </w:r>
            <w:r w:rsidRPr="003B3F98">
              <w:t xml:space="preserve"> EFFICIENCY AND CONSERVATION</w:t>
            </w:r>
          </w:p>
        </w:tc>
      </w:tr>
      <w:tr w:rsidR="00632879" w14:paraId="2365B778" w14:textId="77777777" w:rsidTr="0030702F">
        <w:tc>
          <w:tcPr>
            <w:tcW w:w="10345" w:type="dxa"/>
          </w:tcPr>
          <w:p w14:paraId="566608A0" w14:textId="77E70A61" w:rsidR="00632879" w:rsidRPr="003B3F98" w:rsidRDefault="00632879" w:rsidP="003E0902">
            <w:pPr>
              <w:rPr>
                <w:b/>
              </w:rPr>
            </w:pPr>
            <w:r w:rsidRPr="00632879">
              <w:rPr>
                <w:b/>
              </w:rPr>
              <w:t xml:space="preserve">Achieve </w:t>
            </w:r>
            <w:r w:rsidR="003E0902">
              <w:rPr>
                <w:b/>
              </w:rPr>
              <w:t>5</w:t>
            </w:r>
            <w:r w:rsidRPr="00632879">
              <w:rPr>
                <w:b/>
              </w:rPr>
              <w:t>% reduction</w:t>
            </w:r>
            <w:r w:rsidRPr="003B3F98">
              <w:rPr>
                <w:b/>
              </w:rPr>
              <w:t xml:space="preserve"> in </w:t>
            </w:r>
            <w:r>
              <w:rPr>
                <w:b/>
              </w:rPr>
              <w:t>water use per square foot.*</w:t>
            </w:r>
          </w:p>
        </w:tc>
      </w:tr>
    </w:tbl>
    <w:p w14:paraId="103C4C2A" w14:textId="2B6308D0" w:rsidR="00632879" w:rsidRPr="00471742" w:rsidRDefault="00632879" w:rsidP="00EE73CC">
      <w:pPr>
        <w:spacing w:before="60" w:after="60"/>
        <w:rPr>
          <w:rFonts w:cstheme="minorHAnsi"/>
        </w:rPr>
      </w:pPr>
      <w:r w:rsidRPr="00471742">
        <w:rPr>
          <w:rFonts w:cstheme="minorHAnsi"/>
        </w:rPr>
        <w:t>*</w:t>
      </w:r>
      <w:r w:rsidR="00FE2012">
        <w:rPr>
          <w:rFonts w:cstheme="minorHAnsi"/>
        </w:rPr>
        <w:t xml:space="preserve">Based on </w:t>
      </w:r>
      <w:r w:rsidRPr="00471742">
        <w:rPr>
          <w:rFonts w:cstheme="minorHAnsi"/>
        </w:rPr>
        <w:t>2010 baseline</w:t>
      </w:r>
      <w:r w:rsidR="00FE2012">
        <w:rPr>
          <w:rFonts w:cstheme="minorHAnsi"/>
        </w:rPr>
        <w:t>.</w:t>
      </w:r>
    </w:p>
    <w:p w14:paraId="1FBAAE0B" w14:textId="516CE504" w:rsidR="002C232E" w:rsidRPr="00DF2F36" w:rsidRDefault="00503626">
      <w:pPr>
        <w:rPr>
          <w:rFonts w:cstheme="minorHAnsi"/>
        </w:rPr>
      </w:pPr>
      <w:r w:rsidRPr="00503626">
        <w:rPr>
          <w:rFonts w:cstheme="minorHAnsi"/>
          <w:u w:val="single"/>
        </w:rPr>
        <w:t>Rationale</w:t>
      </w:r>
      <w:r w:rsidRPr="000539D8">
        <w:rPr>
          <w:rFonts w:cstheme="minorHAnsi"/>
        </w:rPr>
        <w:t xml:space="preserve">: </w:t>
      </w:r>
      <w:r w:rsidR="000539D8" w:rsidRPr="007F4E5F">
        <w:rPr>
          <w:rFonts w:cstheme="minorHAnsi"/>
        </w:rPr>
        <w:t xml:space="preserve">Fresh, clean water is a limited resource. Many communities in New England </w:t>
      </w:r>
      <w:r w:rsidR="00C6549F" w:rsidRPr="007F4E5F">
        <w:rPr>
          <w:rFonts w:cstheme="minorHAnsi"/>
        </w:rPr>
        <w:t>wrestle</w:t>
      </w:r>
      <w:r w:rsidR="000539D8" w:rsidRPr="007F4E5F">
        <w:rPr>
          <w:rFonts w:cstheme="minorHAnsi"/>
        </w:rPr>
        <w:t xml:space="preserve"> with the challenge of supporting growth and its associated demand for safe drinking water and wastewater disposal, without depleting aquifers and reducing stream flows. As land development continues in New England, it is becoming increasingly difficult to balance these needs and some areas are experiencing water shortages, reduced stream flow and degraded water quality. Water conservation is an important tool for reducing water demand, and limiting water use should be</w:t>
      </w:r>
      <w:r w:rsidR="000539D8" w:rsidRPr="007F4E5F">
        <w:rPr>
          <w:rFonts w:cs="Lucida Sans Unicode"/>
          <w:color w:val="151515"/>
          <w:shd w:val="clear" w:color="auto" w:fill="FFFFFF"/>
        </w:rPr>
        <w:t xml:space="preserve"> an everyday practice in New England. (</w:t>
      </w:r>
      <w:hyperlink r:id="rId11" w:history="1">
        <w:r w:rsidR="000539D8" w:rsidRPr="007F4E5F">
          <w:rPr>
            <w:rStyle w:val="Hyperlink"/>
            <w:rFonts w:cs="Lucida Sans Unicode"/>
            <w:shd w:val="clear" w:color="auto" w:fill="FFFFFF"/>
          </w:rPr>
          <w:t>EPA New England</w:t>
        </w:r>
      </w:hyperlink>
      <w:r w:rsidR="000539D8" w:rsidRPr="007F4E5F">
        <w:rPr>
          <w:rFonts w:cs="Lucida Sans Unicode"/>
          <w:color w:val="151515"/>
          <w:shd w:val="clear" w:color="auto" w:fill="FFFFFF"/>
        </w:rPr>
        <w:t>)</w:t>
      </w:r>
    </w:p>
    <w:p w14:paraId="3CB51342" w14:textId="4134C01B" w:rsidR="00B97421" w:rsidRPr="00315FDD" w:rsidRDefault="00B97421" w:rsidP="00B97421">
      <w:pPr>
        <w:pStyle w:val="Heading1"/>
      </w:pPr>
      <w:bookmarkStart w:id="4" w:name="_Toc440523755"/>
      <w:r>
        <w:t>Better Building</w:t>
      </w:r>
      <w:bookmarkEnd w:id="4"/>
      <w:r>
        <w:t xml:space="preserve"> </w:t>
      </w:r>
    </w:p>
    <w:p w14:paraId="09B0AA37" w14:textId="77777777" w:rsidR="00B97421" w:rsidRPr="00315FDD" w:rsidRDefault="00B97421" w:rsidP="00B97421">
      <w:pPr>
        <w:rPr>
          <w:rFonts w:cstheme="minorHAnsi"/>
        </w:rPr>
      </w:pPr>
      <w:r>
        <w:rPr>
          <w:rFonts w:cstheme="minorHAnsi"/>
        </w:rPr>
        <w:t>M</w:t>
      </w:r>
      <w:r w:rsidRPr="00315FDD">
        <w:rPr>
          <w:rFonts w:cstheme="minorHAnsi"/>
        </w:rPr>
        <w:t>ore and more healthcare organizations are creating high-performance, healing environments.  From improving patient satisfaction to enhancing staff productivity and reducing injuries, the built environment has a critical role to play in supporting total health.  Increasingly, the scientific literature is also drawing correlations between environmental attributes such as daylighting, access to outdoor space and indoor air quality to clinical metrics such as reduced medication errors, shorter length of stay and redu</w:t>
      </w:r>
      <w:r>
        <w:rPr>
          <w:rFonts w:cstheme="minorHAnsi"/>
        </w:rPr>
        <w:t>cing patient and family stress.</w:t>
      </w:r>
      <w:r w:rsidRPr="00315FDD">
        <w:rPr>
          <w:rFonts w:cstheme="minorHAnsi"/>
        </w:rPr>
        <w:t xml:space="preserve"> (</w:t>
      </w:r>
      <w:hyperlink r:id="rId12" w:history="1">
        <w:r w:rsidRPr="004A7EBA">
          <w:rPr>
            <w:rStyle w:val="Hyperlink"/>
            <w:rFonts w:cstheme="minorHAnsi"/>
            <w:i/>
          </w:rPr>
          <w:t xml:space="preserve">Practice </w:t>
        </w:r>
        <w:proofErr w:type="spellStart"/>
        <w:r w:rsidRPr="004A7EBA">
          <w:rPr>
            <w:rStyle w:val="Hyperlink"/>
            <w:rFonts w:cstheme="minorHAnsi"/>
            <w:i/>
          </w:rPr>
          <w:t>Greenhealth</w:t>
        </w:r>
        <w:proofErr w:type="spellEnd"/>
      </w:hyperlink>
      <w:r>
        <w:rPr>
          <w:rStyle w:val="Hyperlink"/>
          <w:rFonts w:cstheme="minorHAnsi"/>
        </w:rPr>
        <w:t xml:space="preserve"> website</w:t>
      </w:r>
      <w:r w:rsidRPr="00315FDD">
        <w:rPr>
          <w:rFonts w:cstheme="minorHAnsi"/>
        </w:rPr>
        <w:t>)</w:t>
      </w:r>
    </w:p>
    <w:p w14:paraId="597EAE49" w14:textId="77777777" w:rsidR="00B97421" w:rsidRPr="00315FDD" w:rsidRDefault="00B97421" w:rsidP="00B97421">
      <w:pPr>
        <w:spacing w:line="180" w:lineRule="auto"/>
        <w:rPr>
          <w:rFonts w:cstheme="minorHAnsi"/>
        </w:rPr>
      </w:pPr>
    </w:p>
    <w:p w14:paraId="6BF10A19" w14:textId="37B182E2" w:rsidR="00B97421" w:rsidRPr="00315FDD" w:rsidRDefault="00B97421" w:rsidP="00B97421">
      <w:pPr>
        <w:rPr>
          <w:rFonts w:cstheme="minorHAnsi"/>
        </w:rPr>
      </w:pPr>
      <w:r w:rsidRPr="00315FDD">
        <w:rPr>
          <w:rFonts w:cstheme="minorHAnsi"/>
        </w:rPr>
        <w:t>The health of our buildings directly affects our own health.</w:t>
      </w:r>
      <w:r w:rsidRPr="00315FDD">
        <w:rPr>
          <w:rFonts w:cstheme="minorHAnsi"/>
          <w:color w:val="333333"/>
          <w:shd w:val="clear" w:color="auto" w:fill="FFFFFF"/>
        </w:rPr>
        <w:t xml:space="preserve">  </w:t>
      </w:r>
      <w:r w:rsidRPr="00315FDD">
        <w:rPr>
          <w:rFonts w:cstheme="minorHAnsi"/>
        </w:rPr>
        <w:t>On average, Americans spend about 90 percent or more of their time indoors.  Indoor levels of pollutants may be two to five times higher, and occasionally more than 100 time</w:t>
      </w:r>
      <w:r w:rsidR="00525103">
        <w:rPr>
          <w:rFonts w:cstheme="minorHAnsi"/>
        </w:rPr>
        <w:t xml:space="preserve">s higher, than outdoor levels. </w:t>
      </w:r>
      <w:r w:rsidRPr="00315FDD">
        <w:rPr>
          <w:rFonts w:cstheme="minorHAnsi"/>
        </w:rPr>
        <w:t>Buildings in the United States contribute 39 percent of the nation’s total greenhouse gas emissions, including 18 perc</w:t>
      </w:r>
      <w:r w:rsidR="00525103">
        <w:rPr>
          <w:rFonts w:cstheme="minorHAnsi"/>
        </w:rPr>
        <w:t>ent from the commercial sector.</w:t>
      </w:r>
      <w:r w:rsidRPr="00315FDD">
        <w:rPr>
          <w:rFonts w:cstheme="minorHAnsi"/>
        </w:rPr>
        <w:t xml:space="preserve"> Building-related construction and demolition (C&amp;D) debris accounts for 26 percent of total non-industria</w:t>
      </w:r>
      <w:r>
        <w:rPr>
          <w:rFonts w:cstheme="minorHAnsi"/>
        </w:rPr>
        <w:t xml:space="preserve">l waste generation in the U.S. </w:t>
      </w:r>
      <w:r w:rsidRPr="00315FDD">
        <w:rPr>
          <w:rFonts w:cstheme="minorHAnsi"/>
        </w:rPr>
        <w:t>(</w:t>
      </w:r>
      <w:hyperlink r:id="rId13" w:history="1">
        <w:r w:rsidRPr="004A7EBA">
          <w:rPr>
            <w:rStyle w:val="Hyperlink"/>
            <w:rFonts w:cstheme="minorHAnsi"/>
            <w:i/>
          </w:rPr>
          <w:t>US EPA</w:t>
        </w:r>
      </w:hyperlink>
      <w:r w:rsidRPr="00315FDD">
        <w:rPr>
          <w:rFonts w:cstheme="minorHAnsi"/>
        </w:rPr>
        <w:t>)</w:t>
      </w:r>
    </w:p>
    <w:p w14:paraId="191D4A49" w14:textId="77777777" w:rsidR="007642B6" w:rsidRDefault="007642B6">
      <w:pPr>
        <w:rPr>
          <w:rFonts w:cstheme="minorHAnsi"/>
          <w:u w:val="single"/>
        </w:rPr>
      </w:pPr>
    </w:p>
    <w:p w14:paraId="13B786E6" w14:textId="77777777" w:rsidR="00B97421" w:rsidRPr="00B97421" w:rsidRDefault="00B97421" w:rsidP="00B97421">
      <w:pPr>
        <w:rPr>
          <w:rFonts w:cstheme="minorHAnsi"/>
          <w:u w:val="single"/>
        </w:rPr>
      </w:pPr>
      <w:r w:rsidRPr="00B97421">
        <w:rPr>
          <w:rFonts w:cstheme="minorHAnsi"/>
          <w:u w:val="single"/>
        </w:rPr>
        <w:t>Goal Areas</w:t>
      </w:r>
    </w:p>
    <w:p w14:paraId="02BED7C3" w14:textId="09FF83A9" w:rsidR="00B97421" w:rsidRPr="00315FDD" w:rsidRDefault="00B97421" w:rsidP="007642B6">
      <w:pPr>
        <w:tabs>
          <w:tab w:val="left" w:pos="360"/>
        </w:tabs>
        <w:rPr>
          <w:rFonts w:cstheme="minorHAnsi"/>
        </w:rPr>
      </w:pPr>
      <w:r w:rsidRPr="00B97421">
        <w:rPr>
          <w:rFonts w:cstheme="minorHAnsi"/>
        </w:rPr>
        <w:t>1.</w:t>
      </w:r>
      <w:r w:rsidRPr="00B97421">
        <w:rPr>
          <w:rFonts w:cstheme="minorHAnsi"/>
        </w:rPr>
        <w:tab/>
      </w:r>
      <w:r w:rsidR="00437350" w:rsidRPr="008904BE">
        <w:t>NEW BUILDING CONSTRUCTION</w:t>
      </w:r>
      <w:r w:rsidRPr="00B97421">
        <w:rPr>
          <w:rFonts w:cstheme="minorHAnsi"/>
        </w:rPr>
        <w:cr/>
        <w:t>2.</w:t>
      </w:r>
      <w:r w:rsidRPr="00B97421">
        <w:rPr>
          <w:rFonts w:cstheme="minorHAnsi"/>
        </w:rPr>
        <w:tab/>
      </w:r>
      <w:r w:rsidR="00437350" w:rsidRPr="008904BE">
        <w:t>ENERGY USE IN NEW BUILDING DESIGN</w:t>
      </w:r>
      <w:r w:rsidR="00437350" w:rsidRPr="008904BE">
        <w:cr/>
      </w:r>
      <w:r w:rsidRPr="00B97421">
        <w:rPr>
          <w:rFonts w:cstheme="minorHAnsi"/>
        </w:rPr>
        <w:t>3.</w:t>
      </w:r>
      <w:r w:rsidRPr="00B97421">
        <w:rPr>
          <w:rFonts w:cstheme="minorHAnsi"/>
        </w:rPr>
        <w:tab/>
      </w:r>
      <w:r w:rsidR="00437350" w:rsidRPr="008904BE">
        <w:t>SELECTION OF ENVIRONMENTALLY PREFERABLE BUILDING PRODUCTS</w:t>
      </w:r>
      <w:r w:rsidR="00437350" w:rsidRPr="008904BE">
        <w:cr/>
      </w:r>
      <w:r w:rsidRPr="00B97421">
        <w:rPr>
          <w:rFonts w:cstheme="minorHAnsi"/>
        </w:rPr>
        <w:t>4.</w:t>
      </w:r>
      <w:r w:rsidRPr="00B97421">
        <w:rPr>
          <w:rFonts w:cstheme="minorHAnsi"/>
        </w:rPr>
        <w:tab/>
      </w:r>
      <w:r w:rsidR="00437350" w:rsidRPr="008904BE">
        <w:t>RENOVATIONS</w:t>
      </w:r>
      <w:r w:rsidRPr="00B97421">
        <w:rPr>
          <w:rFonts w:cstheme="minorHAnsi"/>
        </w:rPr>
        <w:t xml:space="preserve"> </w:t>
      </w:r>
      <w:r w:rsidRPr="00B97421">
        <w:rPr>
          <w:rFonts w:cstheme="minorHAnsi"/>
        </w:rPr>
        <w:cr/>
      </w:r>
    </w:p>
    <w:tbl>
      <w:tblPr>
        <w:tblStyle w:val="TableGrid"/>
        <w:tblW w:w="0" w:type="auto"/>
        <w:tblLook w:val="04A0" w:firstRow="1" w:lastRow="0" w:firstColumn="1" w:lastColumn="0" w:noHBand="0" w:noVBand="1"/>
      </w:tblPr>
      <w:tblGrid>
        <w:gridCol w:w="10214"/>
      </w:tblGrid>
      <w:tr w:rsidR="00B97421" w:rsidRPr="00315FDD" w14:paraId="2632D405" w14:textId="77777777" w:rsidTr="0030702F">
        <w:tc>
          <w:tcPr>
            <w:tcW w:w="10368" w:type="dxa"/>
          </w:tcPr>
          <w:p w14:paraId="6E67FBC6" w14:textId="77777777" w:rsidR="00B97421" w:rsidRPr="00315FDD" w:rsidRDefault="00B97421" w:rsidP="0030702F">
            <w:pPr>
              <w:rPr>
                <w:rFonts w:cstheme="minorHAnsi"/>
                <w:b/>
              </w:rPr>
            </w:pPr>
            <w:bookmarkStart w:id="5" w:name="LEED"/>
            <w:bookmarkEnd w:id="5"/>
            <w:r w:rsidRPr="00315FDD">
              <w:rPr>
                <w:rFonts w:cstheme="minorHAnsi"/>
              </w:rPr>
              <w:t xml:space="preserve">GOAL AREA 1: </w:t>
            </w:r>
            <w:r w:rsidRPr="00315FDD">
              <w:rPr>
                <w:rFonts w:cstheme="minorHAnsi"/>
                <w:b/>
              </w:rPr>
              <w:t xml:space="preserve"> </w:t>
            </w:r>
            <w:r w:rsidRPr="0024674E">
              <w:rPr>
                <w:rFonts w:cstheme="minorHAnsi"/>
              </w:rPr>
              <w:t>NEW BUILDING CONSTRUCTION</w:t>
            </w:r>
          </w:p>
        </w:tc>
      </w:tr>
      <w:tr w:rsidR="00B97421" w:rsidRPr="00315FDD" w14:paraId="1F3CC120" w14:textId="77777777" w:rsidTr="0030702F">
        <w:tc>
          <w:tcPr>
            <w:tcW w:w="10368" w:type="dxa"/>
          </w:tcPr>
          <w:p w14:paraId="06FC7C64" w14:textId="77777777" w:rsidR="00B97421" w:rsidRPr="0024674E" w:rsidRDefault="00B97421" w:rsidP="00737838">
            <w:pPr>
              <w:rPr>
                <w:rFonts w:cstheme="minorHAnsi"/>
                <w:b/>
              </w:rPr>
            </w:pPr>
            <w:r w:rsidRPr="0024674E">
              <w:rPr>
                <w:rFonts w:cstheme="minorHAnsi"/>
                <w:b/>
              </w:rPr>
              <w:t>Design and construct to LEED v4 certification requirements</w:t>
            </w:r>
            <w:r w:rsidR="00737838" w:rsidRPr="0024674E">
              <w:rPr>
                <w:rFonts w:cstheme="minorHAnsi"/>
                <w:b/>
              </w:rPr>
              <w:t>*</w:t>
            </w:r>
            <w:r w:rsidRPr="0024674E">
              <w:rPr>
                <w:rFonts w:cstheme="minorHAnsi"/>
                <w:b/>
              </w:rPr>
              <w:t xml:space="preserve"> </w:t>
            </w:r>
            <w:r w:rsidR="00737838">
              <w:rPr>
                <w:rFonts w:cstheme="minorHAnsi"/>
                <w:b/>
              </w:rPr>
              <w:t xml:space="preserve">all new buildings </w:t>
            </w:r>
            <w:r w:rsidRPr="0024674E">
              <w:rPr>
                <w:rFonts w:cstheme="minorHAnsi"/>
                <w:b/>
              </w:rPr>
              <w:t>under design beginning in 2016 and to LEED v4 Silver certification requirements</w:t>
            </w:r>
            <w:r w:rsidR="00737838" w:rsidRPr="0024674E">
              <w:rPr>
                <w:rFonts w:cstheme="minorHAnsi"/>
                <w:b/>
              </w:rPr>
              <w:t>*</w:t>
            </w:r>
            <w:r w:rsidRPr="0024674E">
              <w:rPr>
                <w:rFonts w:cstheme="minorHAnsi"/>
                <w:b/>
              </w:rPr>
              <w:t xml:space="preserve"> for buildings designed beginning in 2020.</w:t>
            </w:r>
          </w:p>
        </w:tc>
      </w:tr>
    </w:tbl>
    <w:p w14:paraId="78C9B653" w14:textId="1462049F" w:rsidR="00B97421" w:rsidRPr="00315FDD" w:rsidRDefault="00E53147" w:rsidP="00EE73CC">
      <w:pPr>
        <w:spacing w:before="60" w:after="60"/>
        <w:ind w:left="-86"/>
        <w:rPr>
          <w:rFonts w:cstheme="minorHAnsi"/>
        </w:rPr>
      </w:pPr>
      <w:r>
        <w:rPr>
          <w:rFonts w:cstheme="minorHAnsi"/>
        </w:rPr>
        <w:t xml:space="preserve"> *</w:t>
      </w:r>
      <w:r w:rsidR="00B97421" w:rsidRPr="00315FDD">
        <w:rPr>
          <w:rFonts w:cstheme="minorHAnsi"/>
        </w:rPr>
        <w:t>As determined by a qualified evaluator</w:t>
      </w:r>
      <w:r w:rsidR="00FE2012">
        <w:rPr>
          <w:rFonts w:cstheme="minorHAnsi"/>
        </w:rPr>
        <w:t>.</w:t>
      </w:r>
    </w:p>
    <w:p w14:paraId="420A1505" w14:textId="434ECE10" w:rsidR="00B97421" w:rsidRPr="00315FDD" w:rsidRDefault="00B97421" w:rsidP="00B97421">
      <w:pPr>
        <w:rPr>
          <w:rFonts w:cstheme="minorHAnsi"/>
        </w:rPr>
      </w:pPr>
      <w:r w:rsidRPr="00315FDD">
        <w:rPr>
          <w:rFonts w:cstheme="minorHAnsi"/>
          <w:u w:val="single"/>
        </w:rPr>
        <w:t>Rationale</w:t>
      </w:r>
      <w:r w:rsidR="007F4E5F">
        <w:rPr>
          <w:rFonts w:cstheme="minorHAnsi"/>
        </w:rPr>
        <w:t xml:space="preserve">: </w:t>
      </w:r>
      <w:r w:rsidRPr="00315FDD">
        <w:rPr>
          <w:rFonts w:cstheme="minorHAnsi"/>
        </w:rPr>
        <w:t>LEED certification is the recognized standard for measuring building sustainability overall. Achieving LEED certification is the best way for you to demonstrate that your building project is truly "green." (</w:t>
      </w:r>
      <w:r w:rsidRPr="00807F93">
        <w:t>NRDC</w:t>
      </w:r>
      <w:r w:rsidRPr="00315FDD">
        <w:rPr>
          <w:rFonts w:cstheme="minorHAnsi"/>
        </w:rPr>
        <w:t xml:space="preserve">)  </w:t>
      </w:r>
    </w:p>
    <w:p w14:paraId="17D53F27" w14:textId="77777777" w:rsidR="00B97421" w:rsidRPr="00315FDD" w:rsidRDefault="00B97421" w:rsidP="00B97421">
      <w:pPr>
        <w:rPr>
          <w:rFonts w:cstheme="minorHAnsi"/>
        </w:rPr>
      </w:pPr>
    </w:p>
    <w:tbl>
      <w:tblPr>
        <w:tblStyle w:val="TableGrid"/>
        <w:tblW w:w="0" w:type="auto"/>
        <w:tblLook w:val="04A0" w:firstRow="1" w:lastRow="0" w:firstColumn="1" w:lastColumn="0" w:noHBand="0" w:noVBand="1"/>
      </w:tblPr>
      <w:tblGrid>
        <w:gridCol w:w="10214"/>
      </w:tblGrid>
      <w:tr w:rsidR="00B97421" w:rsidRPr="00315FDD" w14:paraId="5C667438" w14:textId="77777777" w:rsidTr="0030702F">
        <w:tc>
          <w:tcPr>
            <w:tcW w:w="10368" w:type="dxa"/>
          </w:tcPr>
          <w:p w14:paraId="6AE488F1" w14:textId="77777777" w:rsidR="00B97421" w:rsidRPr="00315FDD" w:rsidRDefault="00B97421" w:rsidP="0030702F">
            <w:pPr>
              <w:rPr>
                <w:rFonts w:cstheme="minorHAnsi"/>
                <w:b/>
              </w:rPr>
            </w:pPr>
            <w:bookmarkStart w:id="6" w:name="EnergyBldg"/>
            <w:bookmarkEnd w:id="6"/>
            <w:r w:rsidRPr="00315FDD">
              <w:rPr>
                <w:rFonts w:cstheme="minorHAnsi"/>
              </w:rPr>
              <w:t xml:space="preserve">GOAL AREA 2: </w:t>
            </w:r>
            <w:r w:rsidRPr="0024674E">
              <w:rPr>
                <w:rFonts w:cstheme="minorHAnsi"/>
              </w:rPr>
              <w:t>ENERGY USE IN NEW BUILDING DESIGN</w:t>
            </w:r>
          </w:p>
        </w:tc>
      </w:tr>
      <w:tr w:rsidR="00B97421" w:rsidRPr="00315FDD" w14:paraId="56B823DD" w14:textId="77777777" w:rsidTr="0030702F">
        <w:tc>
          <w:tcPr>
            <w:tcW w:w="10368" w:type="dxa"/>
          </w:tcPr>
          <w:p w14:paraId="61856D1F" w14:textId="77777777" w:rsidR="00B97421" w:rsidRPr="0024674E" w:rsidRDefault="00F373F1" w:rsidP="00F373F1">
            <w:pPr>
              <w:rPr>
                <w:rFonts w:cstheme="minorHAnsi"/>
                <w:b/>
              </w:rPr>
            </w:pPr>
            <w:r w:rsidRPr="00F373F1">
              <w:rPr>
                <w:rFonts w:cstheme="minorHAnsi"/>
                <w:b/>
              </w:rPr>
              <w:t>Power all new free-standing buildings with non-fossil fuels as the primary fuel source.</w:t>
            </w:r>
            <w:r>
              <w:rPr>
                <w:rFonts w:cstheme="minorHAnsi"/>
                <w:b/>
              </w:rPr>
              <w:t xml:space="preserve"> </w:t>
            </w:r>
          </w:p>
        </w:tc>
      </w:tr>
      <w:tr w:rsidR="00734A01" w:rsidRPr="00315FDD" w14:paraId="74BF9C1E" w14:textId="77777777" w:rsidTr="0030702F">
        <w:tc>
          <w:tcPr>
            <w:tcW w:w="10368" w:type="dxa"/>
          </w:tcPr>
          <w:p w14:paraId="7144BACF" w14:textId="56DB49D2" w:rsidR="00734A01" w:rsidRPr="0024674E" w:rsidRDefault="00734A01" w:rsidP="0030702F">
            <w:pPr>
              <w:rPr>
                <w:rFonts w:cstheme="minorHAnsi"/>
                <w:b/>
              </w:rPr>
            </w:pPr>
            <w:r>
              <w:rPr>
                <w:rFonts w:cstheme="minorHAnsi"/>
                <w:b/>
              </w:rPr>
              <w:t xml:space="preserve">Design and construct all </w:t>
            </w:r>
            <w:r w:rsidRPr="0024674E">
              <w:rPr>
                <w:rFonts w:cstheme="minorHAnsi"/>
                <w:b/>
              </w:rPr>
              <w:t xml:space="preserve">new buildings to achieve </w:t>
            </w:r>
            <w:proofErr w:type="gramStart"/>
            <w:r w:rsidRPr="0024674E">
              <w:rPr>
                <w:rFonts w:cstheme="minorHAnsi"/>
                <w:b/>
              </w:rPr>
              <w:t>an</w:t>
            </w:r>
            <w:proofErr w:type="gramEnd"/>
            <w:r w:rsidRPr="0024674E">
              <w:rPr>
                <w:rFonts w:cstheme="minorHAnsi"/>
                <w:b/>
              </w:rPr>
              <w:t xml:space="preserve"> EUI 20% better than average for its building type in the region (benchmark/s to be determined).</w:t>
            </w:r>
          </w:p>
        </w:tc>
      </w:tr>
    </w:tbl>
    <w:p w14:paraId="0F3C46AD" w14:textId="77777777" w:rsidR="00F373F1" w:rsidRDefault="00F373F1" w:rsidP="00FE2012">
      <w:pPr>
        <w:spacing w:before="120"/>
        <w:rPr>
          <w:rFonts w:cstheme="minorHAnsi"/>
        </w:rPr>
      </w:pPr>
      <w:r w:rsidRPr="00F373F1">
        <w:rPr>
          <w:rFonts w:cstheme="minorHAnsi"/>
          <w:u w:val="single"/>
        </w:rPr>
        <w:t>Rationale</w:t>
      </w:r>
      <w:r w:rsidRPr="00F373F1">
        <w:rPr>
          <w:rFonts w:cstheme="minorHAnsi"/>
        </w:rPr>
        <w:t>: In 2009, a UCL-Lancet Commission described climate change as “the biggest global health threat of the 21</w:t>
      </w:r>
      <w:r w:rsidRPr="00F373F1">
        <w:rPr>
          <w:rFonts w:cstheme="minorHAnsi"/>
          <w:vertAlign w:val="superscript"/>
        </w:rPr>
        <w:t>st</w:t>
      </w:r>
      <w:r w:rsidRPr="00F373F1">
        <w:rPr>
          <w:rFonts w:cstheme="minorHAnsi"/>
        </w:rPr>
        <w:t xml:space="preserve"> Century.” In 2010, United Nations member states agreed to try to hold the planet’s temperatures to 2°C (3.6°F) above pre-industrial levels to prevent unacceptably high risks from </w:t>
      </w:r>
      <w:r w:rsidRPr="00F373F1">
        <w:t xml:space="preserve">climate change. In order to stay under the </w:t>
      </w:r>
      <w:r w:rsidRPr="00F373F1">
        <w:rPr>
          <w:rFonts w:cstheme="minorHAnsi"/>
        </w:rPr>
        <w:t>2°</w:t>
      </w:r>
      <w:proofErr w:type="gramStart"/>
      <w:r w:rsidRPr="00F373F1">
        <w:rPr>
          <w:rFonts w:cstheme="minorHAnsi"/>
        </w:rPr>
        <w:t xml:space="preserve">C </w:t>
      </w:r>
      <w:r w:rsidRPr="00F373F1">
        <w:t xml:space="preserve"> threshold</w:t>
      </w:r>
      <w:proofErr w:type="gramEnd"/>
      <w:r w:rsidRPr="00F373F1">
        <w:t>, 80% of coal, 50% of gas and 33% of global oil will need to remain in the ground (</w:t>
      </w:r>
      <w:hyperlink r:id="rId14" w:history="1">
        <w:r w:rsidRPr="00F373F1">
          <w:rPr>
            <w:i/>
            <w:color w:val="0000FF" w:themeColor="hyperlink"/>
            <w:u w:val="single"/>
          </w:rPr>
          <w:t>How Much Fuel</w:t>
        </w:r>
        <w:r w:rsidRPr="00F373F1">
          <w:rPr>
            <w:color w:val="0000FF" w:themeColor="hyperlink"/>
            <w:u w:val="single"/>
          </w:rPr>
          <w:t>, January 2015)</w:t>
        </w:r>
      </w:hyperlink>
      <w:r w:rsidRPr="00F373F1">
        <w:rPr>
          <w:rFonts w:cstheme="minorHAnsi"/>
        </w:rPr>
        <w:t xml:space="preserve">.  The </w:t>
      </w:r>
      <w:hyperlink r:id="rId15" w:anchor=".VkoB7tKrRGE" w:history="1">
        <w:r w:rsidRPr="00F373F1">
          <w:rPr>
            <w:rFonts w:cstheme="minorHAnsi"/>
            <w:color w:val="0000FF" w:themeColor="hyperlink"/>
            <w:u w:val="single"/>
          </w:rPr>
          <w:t>American Hospital Association (AHA)</w:t>
        </w:r>
        <w:r w:rsidRPr="00F373F1">
          <w:rPr>
            <w:rFonts w:cstheme="minorHAnsi"/>
            <w:b/>
            <w:color w:val="0000FF" w:themeColor="hyperlink"/>
            <w:u w:val="single"/>
          </w:rPr>
          <w:t xml:space="preserve"> </w:t>
        </w:r>
        <w:r w:rsidRPr="00F373F1">
          <w:rPr>
            <w:rFonts w:cstheme="minorHAnsi"/>
            <w:color w:val="0000FF" w:themeColor="hyperlink"/>
            <w:u w:val="single"/>
          </w:rPr>
          <w:t>Sustainability Roadmap</w:t>
        </w:r>
      </w:hyperlink>
      <w:r w:rsidRPr="00F373F1">
        <w:rPr>
          <w:rFonts w:cstheme="minorHAnsi"/>
        </w:rPr>
        <w:t xml:space="preserve"> for Hospitals</w:t>
      </w:r>
      <w:r w:rsidRPr="00F373F1">
        <w:rPr>
          <w:rFonts w:cstheme="minorHAnsi"/>
          <w:b/>
        </w:rPr>
        <w:t xml:space="preserve"> </w:t>
      </w:r>
      <w:r w:rsidRPr="00F373F1">
        <w:rPr>
          <w:rFonts w:cstheme="minorHAnsi"/>
        </w:rPr>
        <w:t>recommends hospitals stop all increases in consumption of energy from fossil fuels no later than 2015 and achieve carbon neutrality by 2050.</w:t>
      </w:r>
    </w:p>
    <w:p w14:paraId="1670191E" w14:textId="599AA437" w:rsidR="002C232E" w:rsidRDefault="002C232E">
      <w:pPr>
        <w:rPr>
          <w:rFonts w:cstheme="minorHAnsi"/>
        </w:rPr>
      </w:pPr>
    </w:p>
    <w:tbl>
      <w:tblPr>
        <w:tblStyle w:val="TableGrid"/>
        <w:tblW w:w="0" w:type="auto"/>
        <w:tblLook w:val="04A0" w:firstRow="1" w:lastRow="0" w:firstColumn="1" w:lastColumn="0" w:noHBand="0" w:noVBand="1"/>
      </w:tblPr>
      <w:tblGrid>
        <w:gridCol w:w="10214"/>
      </w:tblGrid>
      <w:tr w:rsidR="00B97421" w:rsidRPr="00315FDD" w14:paraId="04EBA34D" w14:textId="77777777" w:rsidTr="002C232E">
        <w:tc>
          <w:tcPr>
            <w:tcW w:w="10214" w:type="dxa"/>
          </w:tcPr>
          <w:p w14:paraId="65804533" w14:textId="77777777" w:rsidR="00B97421" w:rsidRPr="00315FDD" w:rsidRDefault="00B97421" w:rsidP="0030702F">
            <w:pPr>
              <w:rPr>
                <w:rFonts w:cstheme="minorHAnsi"/>
                <w:b/>
              </w:rPr>
            </w:pPr>
            <w:bookmarkStart w:id="7" w:name="BldgProducts"/>
            <w:bookmarkEnd w:id="7"/>
            <w:r w:rsidRPr="00315FDD">
              <w:rPr>
                <w:rFonts w:cstheme="minorHAnsi"/>
              </w:rPr>
              <w:t xml:space="preserve">GOAL AREA 3: </w:t>
            </w:r>
            <w:r w:rsidRPr="0024674E">
              <w:rPr>
                <w:rFonts w:cstheme="minorHAnsi"/>
              </w:rPr>
              <w:t>SELECTION OF ENVIRONMENTALLY PREFERABLE BUILDING PRODUCTS</w:t>
            </w:r>
          </w:p>
        </w:tc>
      </w:tr>
      <w:tr w:rsidR="00B97421" w:rsidRPr="00315FDD" w14:paraId="7DEC8A97" w14:textId="77777777" w:rsidTr="002C232E">
        <w:tc>
          <w:tcPr>
            <w:tcW w:w="10214" w:type="dxa"/>
          </w:tcPr>
          <w:p w14:paraId="5EE4786B" w14:textId="2FB86CDA" w:rsidR="00B97421" w:rsidRPr="0024674E" w:rsidRDefault="00B97421" w:rsidP="0092054A">
            <w:pPr>
              <w:rPr>
                <w:rFonts w:cstheme="minorHAnsi"/>
                <w:b/>
                <w:color w:val="FF0000"/>
              </w:rPr>
            </w:pPr>
            <w:r w:rsidRPr="0024674E">
              <w:rPr>
                <w:rFonts w:cstheme="minorHAnsi"/>
                <w:b/>
              </w:rPr>
              <w:t>Develop and operationalize a tiered products directory – prohi</w:t>
            </w:r>
            <w:r>
              <w:rPr>
                <w:rFonts w:cstheme="minorHAnsi"/>
                <w:b/>
              </w:rPr>
              <w:t xml:space="preserve">bited, acceptable, preferred – </w:t>
            </w:r>
            <w:r w:rsidRPr="0024674E">
              <w:rPr>
                <w:rFonts w:cstheme="minorHAnsi"/>
                <w:b/>
              </w:rPr>
              <w:t>based on a recognized standard* adopted by leaders in the industry.</w:t>
            </w:r>
          </w:p>
        </w:tc>
      </w:tr>
    </w:tbl>
    <w:p w14:paraId="768DCE5E" w14:textId="448D0318" w:rsidR="00B97421" w:rsidRPr="00315FDD" w:rsidRDefault="00B97421" w:rsidP="0039487F">
      <w:pPr>
        <w:spacing w:before="60" w:after="60"/>
        <w:ind w:left="86" w:hanging="86"/>
        <w:rPr>
          <w:rFonts w:cstheme="minorHAnsi"/>
        </w:rPr>
      </w:pPr>
      <w:r w:rsidRPr="00315FDD">
        <w:rPr>
          <w:rFonts w:cstheme="minorHAnsi"/>
        </w:rPr>
        <w:t xml:space="preserve">*e.g. </w:t>
      </w:r>
      <w:hyperlink r:id="rId16" w:history="1">
        <w:r w:rsidRPr="00315FDD">
          <w:rPr>
            <w:rStyle w:val="Hyperlink"/>
            <w:rFonts w:cstheme="minorHAnsi"/>
          </w:rPr>
          <w:t>Healthy Building Network’s Pharos project</w:t>
        </w:r>
      </w:hyperlink>
      <w:r w:rsidRPr="00315FDD">
        <w:rPr>
          <w:rFonts w:cstheme="minorHAnsi"/>
        </w:rPr>
        <w:t xml:space="preserve">, the </w:t>
      </w:r>
      <w:hyperlink r:id="rId17" w:history="1">
        <w:r w:rsidRPr="00315FDD">
          <w:rPr>
            <w:rStyle w:val="Hyperlink"/>
            <w:rFonts w:cstheme="minorHAnsi"/>
          </w:rPr>
          <w:t>Perkins and Will Transparency</w:t>
        </w:r>
      </w:hyperlink>
      <w:r w:rsidRPr="00315FDD">
        <w:rPr>
          <w:rFonts w:cstheme="minorHAnsi"/>
        </w:rPr>
        <w:t xml:space="preserve"> website, </w:t>
      </w:r>
      <w:hyperlink r:id="rId18" w:history="1">
        <w:r w:rsidRPr="00315FDD">
          <w:rPr>
            <w:rStyle w:val="Hyperlink"/>
            <w:rFonts w:cstheme="minorHAnsi"/>
          </w:rPr>
          <w:t>Declare Products</w:t>
        </w:r>
      </w:hyperlink>
      <w:r w:rsidRPr="00315FDD">
        <w:rPr>
          <w:rFonts w:cstheme="minorHAnsi"/>
        </w:rPr>
        <w:t xml:space="preserve">, </w:t>
      </w:r>
      <w:hyperlink r:id="rId19" w:history="1">
        <w:r w:rsidRPr="00315FDD">
          <w:rPr>
            <w:rStyle w:val="Hyperlink"/>
            <w:rFonts w:cstheme="minorHAnsi"/>
          </w:rPr>
          <w:t>Green Wizard</w:t>
        </w:r>
      </w:hyperlink>
      <w:r w:rsidR="00F548A7">
        <w:rPr>
          <w:rFonts w:cstheme="minorHAnsi"/>
        </w:rPr>
        <w:t>.</w:t>
      </w:r>
    </w:p>
    <w:p w14:paraId="72E3FBF4" w14:textId="77777777" w:rsidR="00B97421" w:rsidRDefault="00B97421" w:rsidP="00FE2012">
      <w:pPr>
        <w:spacing w:before="60"/>
        <w:rPr>
          <w:rFonts w:cstheme="minorHAnsi"/>
          <w:i/>
        </w:rPr>
      </w:pPr>
      <w:r w:rsidRPr="00315FDD">
        <w:rPr>
          <w:rFonts w:cstheme="minorHAnsi"/>
          <w:u w:val="single"/>
        </w:rPr>
        <w:t>Rationale</w:t>
      </w:r>
      <w:r w:rsidRPr="00315FDD">
        <w:rPr>
          <w:rFonts w:cstheme="minorHAnsi"/>
        </w:rPr>
        <w:t>:  The materials we build with can affect our wellbeing as much as the food we eat, the water we drink and the air we breathe. For the most part, we can’t see the toxic chemicals that leak into our indoor air</w:t>
      </w:r>
      <w:r w:rsidRPr="00315FDD" w:rsidDel="004C116B">
        <w:rPr>
          <w:rFonts w:cstheme="minorHAnsi"/>
        </w:rPr>
        <w:t xml:space="preserve"> </w:t>
      </w:r>
      <w:r w:rsidRPr="00315FDD">
        <w:rPr>
          <w:rFonts w:cstheme="minorHAnsi"/>
        </w:rPr>
        <w:t>(</w:t>
      </w:r>
      <w:r w:rsidRPr="00315FDD">
        <w:rPr>
          <w:rFonts w:cstheme="minorHAnsi"/>
          <w:i/>
        </w:rPr>
        <w:t>HBN website</w:t>
      </w:r>
      <w:r w:rsidRPr="00315FDD">
        <w:rPr>
          <w:rFonts w:cstheme="minorHAnsi"/>
        </w:rPr>
        <w:t xml:space="preserve">). Many building materials contain substances that are harmful to human and environmental health including polyvinyl chloride (PVC), phthalates, volatile organic compounds (VOCs), </w:t>
      </w:r>
      <w:proofErr w:type="spellStart"/>
      <w:r w:rsidRPr="00315FDD">
        <w:rPr>
          <w:rFonts w:cstheme="minorHAnsi"/>
        </w:rPr>
        <w:t>perfluorocarbons</w:t>
      </w:r>
      <w:proofErr w:type="spellEnd"/>
      <w:r w:rsidRPr="00315FDD">
        <w:rPr>
          <w:rFonts w:cstheme="minorHAnsi"/>
        </w:rPr>
        <w:t xml:space="preserve"> (PFCs), arsenic, and halogenated flame retardants. Workers, patients and their families are exposed to toxic chemicals from building products every day</w:t>
      </w:r>
      <w:r>
        <w:rPr>
          <w:rFonts w:cstheme="minorHAnsi"/>
        </w:rPr>
        <w:t xml:space="preserve"> and t</w:t>
      </w:r>
      <w:r w:rsidRPr="00315FDD">
        <w:rPr>
          <w:rFonts w:cstheme="minorHAnsi"/>
        </w:rPr>
        <w:t>h</w:t>
      </w:r>
      <w:r>
        <w:rPr>
          <w:rFonts w:cstheme="minorHAnsi"/>
        </w:rPr>
        <w:t>ose</w:t>
      </w:r>
      <w:r w:rsidRPr="00315FDD">
        <w:rPr>
          <w:rFonts w:cstheme="minorHAnsi"/>
        </w:rPr>
        <w:t xml:space="preserve"> impacts, while difficult to track, can be significant. Toxic chemicals, for </w:t>
      </w:r>
      <w:r w:rsidRPr="00315FDD">
        <w:rPr>
          <w:rFonts w:cstheme="minorHAnsi"/>
        </w:rPr>
        <w:lastRenderedPageBreak/>
        <w:t>example, play a role in rising chronic diseases and conditions, including some cancers, birth defects, infertility, asthma and chemical sensitivities. (Healthier Hospitals Initiative</w:t>
      </w:r>
      <w:r>
        <w:rPr>
          <w:rFonts w:cstheme="minorHAnsi"/>
        </w:rPr>
        <w:t>,</w:t>
      </w:r>
      <w:r w:rsidRPr="00315FDD">
        <w:rPr>
          <w:rFonts w:cstheme="minorHAnsi"/>
        </w:rPr>
        <w:t xml:space="preserve"> </w:t>
      </w:r>
      <w:r w:rsidRPr="00315FDD">
        <w:rPr>
          <w:rFonts w:cstheme="minorHAnsi"/>
          <w:i/>
        </w:rPr>
        <w:t>Safer Chemicals How-To Guide</w:t>
      </w:r>
      <w:r>
        <w:rPr>
          <w:rFonts w:cstheme="minorHAnsi"/>
          <w:i/>
        </w:rPr>
        <w:t>)</w:t>
      </w:r>
    </w:p>
    <w:p w14:paraId="2F45C52A" w14:textId="2D3513C3" w:rsidR="00712EC8" w:rsidRDefault="00712EC8">
      <w:pPr>
        <w:rPr>
          <w:rFonts w:cstheme="minorHAnsi"/>
        </w:rPr>
      </w:pPr>
    </w:p>
    <w:tbl>
      <w:tblPr>
        <w:tblStyle w:val="TableGrid"/>
        <w:tblW w:w="0" w:type="auto"/>
        <w:tblLook w:val="04A0" w:firstRow="1" w:lastRow="0" w:firstColumn="1" w:lastColumn="0" w:noHBand="0" w:noVBand="1"/>
      </w:tblPr>
      <w:tblGrid>
        <w:gridCol w:w="10214"/>
      </w:tblGrid>
      <w:tr w:rsidR="00B97421" w:rsidRPr="00315FDD" w14:paraId="61EFC372" w14:textId="77777777" w:rsidTr="0030702F">
        <w:tc>
          <w:tcPr>
            <w:tcW w:w="10368" w:type="dxa"/>
          </w:tcPr>
          <w:p w14:paraId="22A9AA1C" w14:textId="77777777" w:rsidR="00B97421" w:rsidRPr="00315FDD" w:rsidRDefault="00B97421" w:rsidP="0030702F">
            <w:pPr>
              <w:rPr>
                <w:rFonts w:cstheme="minorHAnsi"/>
              </w:rPr>
            </w:pPr>
            <w:bookmarkStart w:id="8" w:name="Renovations"/>
            <w:bookmarkEnd w:id="8"/>
            <w:r w:rsidRPr="00315FDD">
              <w:rPr>
                <w:rFonts w:cstheme="minorHAnsi"/>
              </w:rPr>
              <w:t>GOAL AREA</w:t>
            </w:r>
            <w:r>
              <w:rPr>
                <w:rFonts w:cstheme="minorHAnsi"/>
              </w:rPr>
              <w:t xml:space="preserve"> 4</w:t>
            </w:r>
            <w:r w:rsidRPr="00315FDD">
              <w:rPr>
                <w:rFonts w:cstheme="minorHAnsi"/>
              </w:rPr>
              <w:t xml:space="preserve">: </w:t>
            </w:r>
            <w:r w:rsidRPr="0024674E">
              <w:rPr>
                <w:rFonts w:cstheme="minorHAnsi"/>
              </w:rPr>
              <w:t>RENOVATIONS</w:t>
            </w:r>
          </w:p>
        </w:tc>
      </w:tr>
      <w:tr w:rsidR="00B97421" w:rsidRPr="00315FDD" w14:paraId="4CAA31A5" w14:textId="77777777" w:rsidTr="0030702F">
        <w:tc>
          <w:tcPr>
            <w:tcW w:w="10368" w:type="dxa"/>
          </w:tcPr>
          <w:p w14:paraId="4629CCFF" w14:textId="0EDD6748" w:rsidR="00B97421" w:rsidRPr="0024674E" w:rsidRDefault="00B97421" w:rsidP="0092054A">
            <w:pPr>
              <w:rPr>
                <w:rFonts w:cstheme="minorHAnsi"/>
                <w:b/>
                <w:color w:val="FF0000"/>
              </w:rPr>
            </w:pPr>
            <w:r w:rsidRPr="0024674E">
              <w:rPr>
                <w:rFonts w:cstheme="minorHAnsi"/>
                <w:b/>
              </w:rPr>
              <w:t>Develop and operationalize a building renovation design specification with environmental sustainability parameters based on recognized standards adopted by leaders in the industry.</w:t>
            </w:r>
          </w:p>
        </w:tc>
      </w:tr>
    </w:tbl>
    <w:p w14:paraId="383F6D12" w14:textId="34AD2AE8" w:rsidR="00AB1D15" w:rsidRPr="00734A01" w:rsidRDefault="00B97421" w:rsidP="00803F45">
      <w:pPr>
        <w:pStyle w:val="NormalWeb"/>
        <w:spacing w:before="120" w:beforeAutospacing="0" w:after="0" w:afterAutospacing="0" w:line="276" w:lineRule="auto"/>
        <w:textAlignment w:val="baseline"/>
        <w:rPr>
          <w:rFonts w:asciiTheme="minorHAnsi" w:eastAsiaTheme="minorHAnsi" w:hAnsiTheme="minorHAnsi" w:cstheme="minorHAnsi"/>
          <w:sz w:val="22"/>
          <w:szCs w:val="22"/>
        </w:rPr>
      </w:pPr>
      <w:r w:rsidRPr="00315FDD">
        <w:rPr>
          <w:rFonts w:asciiTheme="minorHAnsi" w:eastAsiaTheme="minorHAnsi" w:hAnsiTheme="minorHAnsi" w:cstheme="minorHAnsi"/>
          <w:sz w:val="22"/>
          <w:szCs w:val="22"/>
          <w:u w:val="single"/>
        </w:rPr>
        <w:t>Rationale</w:t>
      </w:r>
      <w:r w:rsidRPr="00315FDD">
        <w:rPr>
          <w:rFonts w:asciiTheme="minorHAnsi" w:eastAsiaTheme="minorHAnsi" w:hAnsiTheme="minorHAnsi" w:cstheme="minorHAnsi"/>
          <w:sz w:val="22"/>
          <w:szCs w:val="22"/>
        </w:rPr>
        <w:t xml:space="preserve">: </w:t>
      </w:r>
      <w:r w:rsidRPr="00213B00">
        <w:rPr>
          <w:rFonts w:asciiTheme="minorHAnsi" w:eastAsiaTheme="minorHAnsi" w:hAnsiTheme="minorHAnsi" w:cstheme="minorHAnsi"/>
          <w:sz w:val="22"/>
          <w:szCs w:val="22"/>
        </w:rPr>
        <w:t>D-HH renovates spaces and buildings continuously to meet the needs of our patients and to best support changing healthcare processes. In the course of this work there are significant opportunities to creat</w:t>
      </w:r>
      <w:r>
        <w:rPr>
          <w:rFonts w:asciiTheme="minorHAnsi" w:eastAsiaTheme="minorHAnsi" w:hAnsiTheme="minorHAnsi" w:cstheme="minorHAnsi"/>
          <w:sz w:val="22"/>
          <w:szCs w:val="22"/>
        </w:rPr>
        <w:t xml:space="preserve">e more sustainable </w:t>
      </w:r>
      <w:r w:rsidR="00365FD0">
        <w:rPr>
          <w:rFonts w:asciiTheme="minorHAnsi" w:eastAsiaTheme="minorHAnsi" w:hAnsiTheme="minorHAnsi" w:cstheme="minorHAnsi"/>
          <w:sz w:val="22"/>
          <w:szCs w:val="22"/>
        </w:rPr>
        <w:t xml:space="preserve">built </w:t>
      </w:r>
      <w:r>
        <w:rPr>
          <w:rFonts w:asciiTheme="minorHAnsi" w:eastAsiaTheme="minorHAnsi" w:hAnsiTheme="minorHAnsi" w:cstheme="minorHAnsi"/>
          <w:sz w:val="22"/>
          <w:szCs w:val="22"/>
        </w:rPr>
        <w:t>environments</w:t>
      </w:r>
      <w:r w:rsidRPr="00315FDD">
        <w:rPr>
          <w:rFonts w:asciiTheme="minorHAnsi" w:eastAsiaTheme="minorHAnsi" w:hAnsiTheme="minorHAnsi" w:cstheme="minorHAnsi"/>
          <w:sz w:val="22"/>
          <w:szCs w:val="22"/>
        </w:rPr>
        <w:t>.</w:t>
      </w:r>
    </w:p>
    <w:p w14:paraId="7448151E" w14:textId="77777777" w:rsidR="00137E2F" w:rsidRPr="00715914" w:rsidRDefault="00137E2F" w:rsidP="00137E2F">
      <w:pPr>
        <w:pStyle w:val="Heading1"/>
        <w:tabs>
          <w:tab w:val="left" w:pos="6145"/>
        </w:tabs>
      </w:pPr>
      <w:bookmarkStart w:id="9" w:name="_Toc440523756"/>
      <w:r w:rsidRPr="00715914">
        <w:t>Cleaner Transportation</w:t>
      </w:r>
      <w:bookmarkEnd w:id="9"/>
      <w:r>
        <w:tab/>
      </w:r>
    </w:p>
    <w:p w14:paraId="0C5F07FA" w14:textId="77777777" w:rsidR="00137E2F" w:rsidRPr="00062C56" w:rsidRDefault="00137E2F" w:rsidP="00137E2F">
      <w:r w:rsidRPr="00715914">
        <w:t>Smog and fine particle emissions generated by the combustion of petroleum fuels cause immediate and lifelong respiratory impacts while greenhouse gases (GHG) emitted today will continue to threaten public health and wellbeing for generations to come.</w:t>
      </w:r>
      <w:r>
        <w:t xml:space="preserve"> </w:t>
      </w:r>
      <w:r w:rsidRPr="00715914">
        <w:t>Vehicle emissions contribute more than half of the carbon monoxide and nitrogen oxides, and almost a quarter of the hydrocarbons polluting our air.</w:t>
      </w:r>
      <w:r w:rsidRPr="00715914">
        <w:rPr>
          <w:sz w:val="23"/>
          <w:szCs w:val="23"/>
        </w:rPr>
        <w:t xml:space="preserve"> </w:t>
      </w:r>
      <w:r w:rsidRPr="00715914">
        <w:t xml:space="preserve">The health risks of such air pollution are serious. Poor air quality increases respiratory ailments, heightens the risk of life-threatening conditions like cancer, and burdens our health care system with substantial medical costs. </w:t>
      </w:r>
    </w:p>
    <w:p w14:paraId="34C1C0D6" w14:textId="77777777" w:rsidR="00137E2F" w:rsidRPr="00715914" w:rsidRDefault="00137E2F" w:rsidP="00137E2F">
      <w:pPr>
        <w:spacing w:line="180" w:lineRule="auto"/>
      </w:pPr>
    </w:p>
    <w:p w14:paraId="080FA25E" w14:textId="77777777" w:rsidR="00137E2F" w:rsidRDefault="00137E2F" w:rsidP="00137E2F">
      <w:r w:rsidRPr="00715914">
        <w:t>In 2013, greenhouse gas emissions from transportation accounted for about 27% of total U.S. greenhouse gas emissions, making it the second largest contributo</w:t>
      </w:r>
      <w:r>
        <w:t xml:space="preserve">r after the electricity sector </w:t>
      </w:r>
      <w:r w:rsidRPr="00715914">
        <w:t>(</w:t>
      </w:r>
      <w:hyperlink r:id="rId20" w:history="1">
        <w:r w:rsidRPr="00715914">
          <w:rPr>
            <w:color w:val="0000FF" w:themeColor="hyperlink"/>
            <w:u w:val="single"/>
          </w:rPr>
          <w:t xml:space="preserve">EPA, </w:t>
        </w:r>
        <w:r w:rsidRPr="00715914">
          <w:rPr>
            <w:i/>
            <w:color w:val="0000FF" w:themeColor="hyperlink"/>
            <w:u w:val="single"/>
          </w:rPr>
          <w:t>Sources of GHG Emissions: Transportation Sector</w:t>
        </w:r>
      </w:hyperlink>
      <w:r w:rsidRPr="00715914">
        <w:t>)</w:t>
      </w:r>
      <w:r>
        <w:t xml:space="preserve">. </w:t>
      </w:r>
      <w:r w:rsidRPr="00715914">
        <w:t>Transportation is a significant portion of D-HH’s environmental footprint. As a rurally-located health system, D-HH’s catchment area for staff and patients is large, which limits our public transportation options. In a calculation with 2007 data, the Eco-Health Footprint calculator developed by D-HH showed transportation accounted for 25% of DHMC’s carbon emissions.</w:t>
      </w:r>
    </w:p>
    <w:p w14:paraId="5AD4B4B5" w14:textId="77777777" w:rsidR="005A3419" w:rsidRDefault="005A3419" w:rsidP="00137E2F"/>
    <w:p w14:paraId="2D256550" w14:textId="77777777" w:rsidR="005A3419" w:rsidRPr="005A3419" w:rsidRDefault="005A3419" w:rsidP="00137E2F">
      <w:pPr>
        <w:rPr>
          <w:u w:val="single"/>
        </w:rPr>
      </w:pPr>
      <w:r>
        <w:rPr>
          <w:u w:val="single"/>
        </w:rPr>
        <w:t>Goal Areas</w:t>
      </w:r>
    </w:p>
    <w:p w14:paraId="0EAC7493" w14:textId="77777777" w:rsidR="005A3419" w:rsidRDefault="005A3419" w:rsidP="005A3419">
      <w:pPr>
        <w:tabs>
          <w:tab w:val="left" w:pos="360"/>
        </w:tabs>
      </w:pPr>
      <w:r>
        <w:t>1.</w:t>
      </w:r>
      <w:r>
        <w:tab/>
        <w:t xml:space="preserve">REDUCTION OF STAFF VEHICLE MILES TRAVELED </w:t>
      </w:r>
    </w:p>
    <w:p w14:paraId="0900DBF6" w14:textId="77777777" w:rsidR="005A3419" w:rsidRDefault="005A3419" w:rsidP="005A3419">
      <w:pPr>
        <w:tabs>
          <w:tab w:val="left" w:pos="360"/>
        </w:tabs>
      </w:pPr>
      <w:r>
        <w:t>2.</w:t>
      </w:r>
      <w:r>
        <w:tab/>
        <w:t>PERSONAL VEHICLE EMISSIONS REDUCTION</w:t>
      </w:r>
    </w:p>
    <w:p w14:paraId="01031475" w14:textId="77777777" w:rsidR="00137E2F" w:rsidRDefault="005A3419" w:rsidP="005A3419">
      <w:pPr>
        <w:tabs>
          <w:tab w:val="left" w:pos="360"/>
        </w:tabs>
      </w:pPr>
      <w:r>
        <w:t>3.</w:t>
      </w:r>
      <w:r>
        <w:tab/>
        <w:t>FLEET VEHICLE EFFICIENCY</w:t>
      </w:r>
    </w:p>
    <w:p w14:paraId="1C9AC30D" w14:textId="77777777" w:rsidR="00DF2F36" w:rsidRPr="00715914" w:rsidRDefault="00DF2F36" w:rsidP="005A3419">
      <w:pPr>
        <w:tabs>
          <w:tab w:val="left" w:pos="360"/>
        </w:tabs>
      </w:pPr>
    </w:p>
    <w:tbl>
      <w:tblPr>
        <w:tblStyle w:val="TableGrid2"/>
        <w:tblW w:w="0" w:type="auto"/>
        <w:tblLook w:val="04A0" w:firstRow="1" w:lastRow="0" w:firstColumn="1" w:lastColumn="0" w:noHBand="0" w:noVBand="1"/>
      </w:tblPr>
      <w:tblGrid>
        <w:gridCol w:w="10214"/>
      </w:tblGrid>
      <w:tr w:rsidR="00FA7D14" w:rsidRPr="00715914" w14:paraId="325E2C30" w14:textId="77777777" w:rsidTr="00F548A7">
        <w:tc>
          <w:tcPr>
            <w:tcW w:w="10214" w:type="dxa"/>
          </w:tcPr>
          <w:p w14:paraId="1D3FC466" w14:textId="77777777" w:rsidR="00FA7D14" w:rsidRPr="00715914" w:rsidRDefault="00FA7D14" w:rsidP="00DF2F36">
            <w:pPr>
              <w:rPr>
                <w:b/>
              </w:rPr>
            </w:pPr>
            <w:bookmarkStart w:id="10" w:name="GreenCert"/>
            <w:bookmarkStart w:id="11" w:name="SOV"/>
            <w:bookmarkEnd w:id="10"/>
            <w:bookmarkEnd w:id="11"/>
            <w:r w:rsidRPr="00715914">
              <w:t xml:space="preserve">GOAL AREA 1: </w:t>
            </w:r>
            <w:r w:rsidRPr="003B5EA1">
              <w:t>REDUCTION OF STAFF VEHICLE MILES TRAVELED</w:t>
            </w:r>
            <w:r w:rsidRPr="00715914">
              <w:rPr>
                <w:b/>
              </w:rPr>
              <w:t xml:space="preserve"> </w:t>
            </w:r>
          </w:p>
        </w:tc>
      </w:tr>
      <w:tr w:rsidR="00FA7D14" w:rsidRPr="00715914" w14:paraId="4D2111FF" w14:textId="77777777" w:rsidTr="00F548A7">
        <w:tc>
          <w:tcPr>
            <w:tcW w:w="10214" w:type="dxa"/>
          </w:tcPr>
          <w:p w14:paraId="61D1EA94" w14:textId="77777777" w:rsidR="00FA7D14" w:rsidRPr="003B5EA1" w:rsidRDefault="00FA7D14" w:rsidP="00DF2F36">
            <w:pPr>
              <w:rPr>
                <w:b/>
              </w:rPr>
            </w:pPr>
            <w:r w:rsidRPr="003B5EA1">
              <w:rPr>
                <w:b/>
              </w:rPr>
              <w:t>Reduce single-occupant vehicle</w:t>
            </w:r>
            <w:r>
              <w:rPr>
                <w:b/>
              </w:rPr>
              <w:t xml:space="preserve"> (SOV) arrivals to DHMC by 10%.</w:t>
            </w:r>
          </w:p>
        </w:tc>
      </w:tr>
    </w:tbl>
    <w:p w14:paraId="2FE7C7A6" w14:textId="41085F27" w:rsidR="00712EC8" w:rsidRDefault="00137E2F" w:rsidP="00803F45">
      <w:pPr>
        <w:spacing w:before="120"/>
      </w:pPr>
      <w:r w:rsidRPr="00715914">
        <w:rPr>
          <w:u w:val="single"/>
        </w:rPr>
        <w:t>Rationale</w:t>
      </w:r>
      <w:r w:rsidRPr="00715914">
        <w:t xml:space="preserve">: Implementing programs that reduce SOV miles traveled – incenting staff to commute via bus, vanpool, carpool or bike instead of driving alone – is an effective means of accruing the environmental, safety, economic and health benefits associated with less emissions. </w:t>
      </w:r>
      <w:r>
        <w:t xml:space="preserve">Allowing eligible staff to work from home on some days would help us achieve this goal while contributing to staff satisfaction and retention. </w:t>
      </w:r>
      <w:r w:rsidRPr="00715914">
        <w:t>While the social, economic, demographic and land-use obstacles to reducing SOV use are formidable, research suggests that employer programs can play a large role in shaping worker transportation patterns, even in Northern New England. (</w:t>
      </w:r>
      <w:hyperlink r:id="rId21" w:history="1">
        <w:r w:rsidRPr="00062C56">
          <w:rPr>
            <w:i/>
            <w:color w:val="0000FF" w:themeColor="hyperlink"/>
            <w:u w:val="single"/>
          </w:rPr>
          <w:t>UVM Transportation Research Center</w:t>
        </w:r>
      </w:hyperlink>
      <w:r w:rsidRPr="00715914">
        <w:t>)</w:t>
      </w:r>
    </w:p>
    <w:p w14:paraId="1CAE7A9E" w14:textId="5111B8DD" w:rsidR="00DF2F36" w:rsidRDefault="00DF2F36" w:rsidP="00803F45">
      <w:pPr>
        <w:spacing w:before="120"/>
      </w:pPr>
      <w:r>
        <w:br w:type="page"/>
      </w:r>
    </w:p>
    <w:tbl>
      <w:tblPr>
        <w:tblStyle w:val="TableGrid2"/>
        <w:tblW w:w="0" w:type="auto"/>
        <w:tblLook w:val="04A0" w:firstRow="1" w:lastRow="0" w:firstColumn="1" w:lastColumn="0" w:noHBand="0" w:noVBand="1"/>
      </w:tblPr>
      <w:tblGrid>
        <w:gridCol w:w="10214"/>
      </w:tblGrid>
      <w:tr w:rsidR="00137E2F" w:rsidRPr="00715914" w14:paraId="42BCAB78" w14:textId="77777777" w:rsidTr="00CB065E">
        <w:tc>
          <w:tcPr>
            <w:tcW w:w="10214" w:type="dxa"/>
          </w:tcPr>
          <w:p w14:paraId="69E2F422" w14:textId="77777777" w:rsidR="00137E2F" w:rsidRPr="00715914" w:rsidRDefault="00137E2F" w:rsidP="0030702F">
            <w:pPr>
              <w:rPr>
                <w:b/>
              </w:rPr>
            </w:pPr>
            <w:bookmarkStart w:id="12" w:name="PersonalVehicles"/>
            <w:bookmarkEnd w:id="12"/>
            <w:r w:rsidRPr="00715914">
              <w:lastRenderedPageBreak/>
              <w:t xml:space="preserve">GOAL AREA 2: </w:t>
            </w:r>
            <w:r w:rsidRPr="003B5EA1">
              <w:t>PERSONAL VEHICLE EMISSIONS REDUCTION</w:t>
            </w:r>
          </w:p>
        </w:tc>
      </w:tr>
      <w:tr w:rsidR="00137E2F" w:rsidRPr="00715914" w14:paraId="50751F4B" w14:textId="77777777" w:rsidTr="00CB065E">
        <w:tc>
          <w:tcPr>
            <w:tcW w:w="10214" w:type="dxa"/>
          </w:tcPr>
          <w:p w14:paraId="5B0B02BE" w14:textId="77777777" w:rsidR="00137E2F" w:rsidRPr="003B5EA1" w:rsidRDefault="00B27853" w:rsidP="0030702F">
            <w:pPr>
              <w:rPr>
                <w:b/>
              </w:rPr>
            </w:pPr>
            <w:r w:rsidRPr="00B27853">
              <w:rPr>
                <w:b/>
              </w:rPr>
              <w:t>Decrease emissions from employee-owned vehicles by having 15% of employees switch to a vehicle with an improved emissions profile.</w:t>
            </w:r>
          </w:p>
        </w:tc>
      </w:tr>
      <w:tr w:rsidR="00137E2F" w:rsidRPr="00715914" w14:paraId="4DC7907F" w14:textId="77777777" w:rsidTr="00CB065E">
        <w:tc>
          <w:tcPr>
            <w:tcW w:w="10214" w:type="dxa"/>
          </w:tcPr>
          <w:p w14:paraId="383E6C25" w14:textId="7937342E" w:rsidR="00137E2F" w:rsidRPr="003B5EA1" w:rsidRDefault="00137E2F" w:rsidP="0092054A">
            <w:pPr>
              <w:rPr>
                <w:b/>
              </w:rPr>
            </w:pPr>
            <w:r w:rsidRPr="003B5EA1">
              <w:rPr>
                <w:b/>
              </w:rPr>
              <w:t xml:space="preserve">Install </w:t>
            </w:r>
            <w:r w:rsidR="0092054A">
              <w:rPr>
                <w:b/>
              </w:rPr>
              <w:t>additional</w:t>
            </w:r>
            <w:r w:rsidR="0092054A" w:rsidRPr="003B5EA1">
              <w:rPr>
                <w:b/>
              </w:rPr>
              <w:t xml:space="preserve"> </w:t>
            </w:r>
            <w:r w:rsidRPr="003B5EA1">
              <w:rPr>
                <w:b/>
              </w:rPr>
              <w:t xml:space="preserve">charging stations to meet or exceed the needs of all staff, patients, </w:t>
            </w:r>
            <w:r w:rsidR="00083319" w:rsidRPr="003B5EA1">
              <w:rPr>
                <w:b/>
              </w:rPr>
              <w:t>and visitors</w:t>
            </w:r>
            <w:r w:rsidRPr="003B5EA1">
              <w:rPr>
                <w:b/>
              </w:rPr>
              <w:t xml:space="preserve"> driving electric vehicles</w:t>
            </w:r>
            <w:r w:rsidR="008E5B67">
              <w:rPr>
                <w:b/>
              </w:rPr>
              <w:t>.</w:t>
            </w:r>
          </w:p>
        </w:tc>
      </w:tr>
    </w:tbl>
    <w:p w14:paraId="08BFAEE6" w14:textId="77777777" w:rsidR="00137E2F" w:rsidRDefault="00137E2F" w:rsidP="00803F45">
      <w:pPr>
        <w:spacing w:before="120"/>
      </w:pPr>
      <w:r w:rsidRPr="00715914">
        <w:rPr>
          <w:u w:val="single"/>
        </w:rPr>
        <w:t>Rationale</w:t>
      </w:r>
      <w:r w:rsidRPr="00715914">
        <w:t>: For the majority of D-HH staff, driving alone to work is their only practical option. Their work schedules or their remote home locations do not allow for commuting with others or taking public transportation.</w:t>
      </w:r>
      <w:r>
        <w:rPr>
          <w:b/>
        </w:rPr>
        <w:t xml:space="preserve"> </w:t>
      </w:r>
      <w:r w:rsidRPr="00715914">
        <w:t xml:space="preserve">For these employees, incenting them to switch to a lower-emitting personal vehicle is the next best option for reducing their contribution to the organization’s huge transportation footprint. </w:t>
      </w:r>
    </w:p>
    <w:p w14:paraId="3CA574AA" w14:textId="77777777" w:rsidR="00137E2F" w:rsidRPr="00715914" w:rsidRDefault="00137E2F" w:rsidP="00137E2F">
      <w:pPr>
        <w:spacing w:line="180" w:lineRule="auto"/>
      </w:pPr>
    </w:p>
    <w:p w14:paraId="32795FB2" w14:textId="77777777" w:rsidR="00137E2F" w:rsidRDefault="00137E2F" w:rsidP="00137E2F">
      <w:r>
        <w:t xml:space="preserve">EV Charging Stations: </w:t>
      </w:r>
      <w:r w:rsidRPr="00715914">
        <w:t>The Electric Power Research Institute (EPRI) has shown that a plug-in hybrid</w:t>
      </w:r>
      <w:r>
        <w:t xml:space="preserve"> electric</w:t>
      </w:r>
      <w:r w:rsidRPr="00715914">
        <w:t xml:space="preserve"> vehicle (PHEV) with a modest 20-mile electric range could save 300 gallons of gasoline per year, avoiding 6000 pounds of damaging greenhouse gas emissions and reducing pollution by 38 percent. </w:t>
      </w:r>
      <w:r>
        <w:t xml:space="preserve"> </w:t>
      </w:r>
      <w:r w:rsidRPr="00715914">
        <w:t xml:space="preserve">According to </w:t>
      </w:r>
      <w:hyperlink r:id="rId22" w:history="1">
        <w:r w:rsidRPr="00715914">
          <w:rPr>
            <w:color w:val="0000FF" w:themeColor="hyperlink"/>
            <w:u w:val="single"/>
          </w:rPr>
          <w:t>a recent DoE study</w:t>
        </w:r>
      </w:hyperlink>
      <w:r w:rsidRPr="00715914">
        <w:t>, employees with access to charging stations are 20 times more likely to drive a plug-in car. When charging stations were available, the study found that about 1 in 73 people was likely to drive a plug-in car, compared to 1 in 1,400</w:t>
      </w:r>
      <w:r>
        <w:t xml:space="preserve"> for the rest of the workforce </w:t>
      </w:r>
      <w:r w:rsidRPr="00715914">
        <w:t>(</w:t>
      </w:r>
      <w:hyperlink r:id="rId23" w:history="1">
        <w:r w:rsidRPr="00715914">
          <w:rPr>
            <w:color w:val="0000FF" w:themeColor="hyperlink"/>
            <w:u w:val="single"/>
          </w:rPr>
          <w:t>gas2.org</w:t>
        </w:r>
      </w:hyperlink>
      <w:r w:rsidRPr="00715914">
        <w:t>)</w:t>
      </w:r>
      <w:bookmarkStart w:id="13" w:name="EPP"/>
      <w:bookmarkStart w:id="14" w:name="Fleet"/>
      <w:bookmarkStart w:id="15" w:name="Energy"/>
      <w:bookmarkStart w:id="16" w:name="ActiveTransport"/>
      <w:bookmarkEnd w:id="13"/>
      <w:bookmarkEnd w:id="14"/>
      <w:bookmarkEnd w:id="15"/>
      <w:bookmarkEnd w:id="16"/>
      <w:r>
        <w:t>.</w:t>
      </w:r>
    </w:p>
    <w:p w14:paraId="75590382" w14:textId="77777777" w:rsidR="00137E2F" w:rsidRPr="00715914" w:rsidRDefault="00137E2F" w:rsidP="00137E2F">
      <w:pPr>
        <w:spacing w:line="360" w:lineRule="auto"/>
      </w:pPr>
    </w:p>
    <w:tbl>
      <w:tblPr>
        <w:tblStyle w:val="TableGrid2"/>
        <w:tblW w:w="0" w:type="auto"/>
        <w:tblLook w:val="04A0" w:firstRow="1" w:lastRow="0" w:firstColumn="1" w:lastColumn="0" w:noHBand="0" w:noVBand="1"/>
      </w:tblPr>
      <w:tblGrid>
        <w:gridCol w:w="10214"/>
      </w:tblGrid>
      <w:tr w:rsidR="00137E2F" w:rsidRPr="00715914" w14:paraId="5AFF290E" w14:textId="77777777" w:rsidTr="0030702F">
        <w:tc>
          <w:tcPr>
            <w:tcW w:w="10548" w:type="dxa"/>
          </w:tcPr>
          <w:p w14:paraId="72E875E1" w14:textId="77777777" w:rsidR="00137E2F" w:rsidRPr="00715914" w:rsidRDefault="00137E2F" w:rsidP="0030702F">
            <w:bookmarkStart w:id="17" w:name="FleetVehicles"/>
            <w:bookmarkEnd w:id="17"/>
            <w:r w:rsidRPr="00715914">
              <w:t>GOAL AREA 3</w:t>
            </w:r>
            <w:r w:rsidRPr="00715914">
              <w:rPr>
                <w:caps/>
              </w:rPr>
              <w:t xml:space="preserve">:  </w:t>
            </w:r>
            <w:r w:rsidRPr="003B5EA1">
              <w:rPr>
                <w:caps/>
              </w:rPr>
              <w:t>FLEET VEHICLE EFFICIENCY</w:t>
            </w:r>
          </w:p>
        </w:tc>
      </w:tr>
      <w:tr w:rsidR="00137E2F" w:rsidRPr="00715914" w14:paraId="13C45E26" w14:textId="77777777" w:rsidTr="0030702F">
        <w:tc>
          <w:tcPr>
            <w:tcW w:w="10548" w:type="dxa"/>
          </w:tcPr>
          <w:p w14:paraId="09D6E2B8" w14:textId="77777777" w:rsidR="00137E2F" w:rsidRPr="003B5EA1" w:rsidRDefault="00137E2F" w:rsidP="0030702F">
            <w:pPr>
              <w:rPr>
                <w:b/>
              </w:rPr>
            </w:pPr>
            <w:r w:rsidRPr="003B5EA1">
              <w:rPr>
                <w:b/>
              </w:rPr>
              <w:t>Replace leased vehicle fleet with the highest fuel efficiency and lowest emission profile available for that fleet type</w:t>
            </w:r>
            <w:r w:rsidR="008E5B67">
              <w:rPr>
                <w:b/>
              </w:rPr>
              <w:t>.</w:t>
            </w:r>
          </w:p>
        </w:tc>
      </w:tr>
    </w:tbl>
    <w:p w14:paraId="4F54B86D" w14:textId="77777777" w:rsidR="00137E2F" w:rsidRDefault="00137E2F" w:rsidP="00803F45">
      <w:pPr>
        <w:spacing w:before="120"/>
      </w:pPr>
      <w:r w:rsidRPr="00715914">
        <w:rPr>
          <w:u w:val="single"/>
        </w:rPr>
        <w:t>Rationale</w:t>
      </w:r>
      <w:r w:rsidRPr="00715914">
        <w:t>:  Reducing D-HH fleet emissions would have a direct positive impact on local air quality as well as decreasing GHG emissions that contribute to climate change. Fleet emissions can be reduced by increasing the fuel efficiency of vehicles, improving operating practices, and/or using alternative fuels that emit less CO</w:t>
      </w:r>
      <w:r w:rsidRPr="00715914">
        <w:rPr>
          <w:vertAlign w:val="subscript"/>
        </w:rPr>
        <w:t>2</w:t>
      </w:r>
      <w:r w:rsidRPr="00715914">
        <w:t xml:space="preserve">. </w:t>
      </w:r>
    </w:p>
    <w:p w14:paraId="00341753" w14:textId="77777777" w:rsidR="00F25BE1" w:rsidRDefault="00F25BE1" w:rsidP="00741D98">
      <w:pPr>
        <w:pStyle w:val="Heading1"/>
      </w:pPr>
      <w:bookmarkStart w:id="18" w:name="_Toc440523757"/>
      <w:r w:rsidRPr="00566CF0">
        <w:t>Smarter Purchasing</w:t>
      </w:r>
      <w:bookmarkEnd w:id="18"/>
      <w:r w:rsidRPr="00566CF0">
        <w:t xml:space="preserve"> </w:t>
      </w:r>
    </w:p>
    <w:p w14:paraId="696F89F1" w14:textId="77777777" w:rsidR="00F25BE1" w:rsidRDefault="00F25BE1" w:rsidP="00F25BE1">
      <w:r w:rsidRPr="0042784A">
        <w:t>What we buy matters. Hospitals are environments for healing</w:t>
      </w:r>
      <w:r>
        <w:t>,</w:t>
      </w:r>
      <w:r w:rsidRPr="0042784A">
        <w:t xml:space="preserve"> but many of the products and materials that come into a hospital may be harmful to patients, staff, and those in the community. Many of the chemicals used in products have not been adequately tested for toxicity.</w:t>
      </w:r>
    </w:p>
    <w:p w14:paraId="770BC4A1" w14:textId="77777777" w:rsidR="00F25BE1" w:rsidRDefault="00F25BE1" w:rsidP="00F25BE1">
      <w:pPr>
        <w:spacing w:line="180" w:lineRule="auto"/>
      </w:pPr>
    </w:p>
    <w:p w14:paraId="19835A2A" w14:textId="77777777" w:rsidR="00F25BE1" w:rsidRDefault="00F25BE1" w:rsidP="00F25BE1">
      <w:r w:rsidRPr="0042784A">
        <w:t>Environmentally Preferable Purchasing (EPP) is the act of purchasing products/services whose environmental impacts have been considered and found to be less damaging to the environment and human health when compared to competing products</w:t>
      </w:r>
      <w:r>
        <w:t xml:space="preserve"> or services. </w:t>
      </w:r>
      <w:r w:rsidRPr="0042784A">
        <w:t>EPP is “preventive medicine” that promotes the heath of the environment</w:t>
      </w:r>
      <w:r>
        <w:t xml:space="preserve"> and people</w:t>
      </w:r>
      <w:r w:rsidRPr="0042784A">
        <w:t>. It’s an important part of the process toward sustainable operations</w:t>
      </w:r>
      <w:r>
        <w:t xml:space="preserve">. And with the U.S. healthcare industry’s </w:t>
      </w:r>
      <w:r w:rsidRPr="0042784A">
        <w:t xml:space="preserve">$200 billion </w:t>
      </w:r>
      <w:r>
        <w:t>annual spend on</w:t>
      </w:r>
      <w:r w:rsidRPr="0042784A">
        <w:t xml:space="preserve"> medical and non-medical products, </w:t>
      </w:r>
      <w:r>
        <w:t>healthcare institutions have the power to move the markets and make safer, less toxic products available universally</w:t>
      </w:r>
      <w:r w:rsidRPr="0042784A">
        <w:t xml:space="preserve">. </w:t>
      </w:r>
      <w:r>
        <w:t>(</w:t>
      </w:r>
      <w:hyperlink r:id="rId24" w:history="1">
        <w:r w:rsidRPr="00CF4F50">
          <w:rPr>
            <w:rStyle w:val="Hyperlink"/>
            <w:i/>
          </w:rPr>
          <w:t xml:space="preserve">Practice </w:t>
        </w:r>
        <w:proofErr w:type="spellStart"/>
        <w:r w:rsidRPr="00CF4F50">
          <w:rPr>
            <w:rStyle w:val="Hyperlink"/>
            <w:i/>
          </w:rPr>
          <w:t>Greenhealth</w:t>
        </w:r>
        <w:proofErr w:type="spellEnd"/>
        <w:r w:rsidRPr="0042784A">
          <w:rPr>
            <w:rStyle w:val="Hyperlink"/>
          </w:rPr>
          <w:t>, EPP</w:t>
        </w:r>
      </w:hyperlink>
      <w:r>
        <w:t>)</w:t>
      </w:r>
    </w:p>
    <w:p w14:paraId="5F26B288" w14:textId="77777777" w:rsidR="00F25BE1" w:rsidRPr="00F25BE1" w:rsidRDefault="00F25BE1" w:rsidP="00F25BE1"/>
    <w:p w14:paraId="6A9BEADD" w14:textId="77777777" w:rsidR="00F25BE1" w:rsidRPr="00F25BE1" w:rsidRDefault="00F25BE1" w:rsidP="00F25BE1">
      <w:pPr>
        <w:rPr>
          <w:u w:val="single"/>
        </w:rPr>
      </w:pPr>
      <w:r>
        <w:rPr>
          <w:u w:val="single"/>
        </w:rPr>
        <w:t>Goal Areas</w:t>
      </w:r>
    </w:p>
    <w:p w14:paraId="7A8E09DB" w14:textId="77777777" w:rsidR="00F25BE1" w:rsidRDefault="00F25BE1" w:rsidP="00F25BE1">
      <w:pPr>
        <w:tabs>
          <w:tab w:val="left" w:pos="360"/>
        </w:tabs>
      </w:pPr>
      <w:r>
        <w:t>1.</w:t>
      </w:r>
      <w:r>
        <w:tab/>
        <w:t>EPP INFRASTRUCTURE</w:t>
      </w:r>
    </w:p>
    <w:p w14:paraId="361D1424" w14:textId="77777777" w:rsidR="00F25BE1" w:rsidRDefault="00F25BE1" w:rsidP="00F25BE1">
      <w:pPr>
        <w:tabs>
          <w:tab w:val="left" w:pos="360"/>
        </w:tabs>
      </w:pPr>
      <w:r>
        <w:t>2.</w:t>
      </w:r>
      <w:r>
        <w:tab/>
      </w:r>
      <w:r w:rsidR="00026383">
        <w:t>SAFER CHEMICALS</w:t>
      </w:r>
    </w:p>
    <w:p w14:paraId="149A6D0B" w14:textId="77777777" w:rsidR="00F25BE1" w:rsidRDefault="00422094" w:rsidP="00026383">
      <w:pPr>
        <w:tabs>
          <w:tab w:val="left" w:pos="360"/>
        </w:tabs>
      </w:pPr>
      <w:r>
        <w:t>4.</w:t>
      </w:r>
      <w:r>
        <w:tab/>
      </w:r>
      <w:r w:rsidR="00026383">
        <w:t>SURGICAL KIT REVIEW</w:t>
      </w:r>
    </w:p>
    <w:p w14:paraId="6CA2BA11" w14:textId="2392AD4F" w:rsidR="00DF2F36" w:rsidRDefault="00DF2F36" w:rsidP="00026383">
      <w:pPr>
        <w:tabs>
          <w:tab w:val="left" w:pos="360"/>
        </w:tabs>
      </w:pPr>
      <w:r>
        <w:br w:type="page"/>
      </w:r>
    </w:p>
    <w:tbl>
      <w:tblPr>
        <w:tblStyle w:val="TableGrid"/>
        <w:tblW w:w="10345" w:type="dxa"/>
        <w:tblLook w:val="04A0" w:firstRow="1" w:lastRow="0" w:firstColumn="1" w:lastColumn="0" w:noHBand="0" w:noVBand="1"/>
      </w:tblPr>
      <w:tblGrid>
        <w:gridCol w:w="10345"/>
      </w:tblGrid>
      <w:tr w:rsidR="00F25BE1" w14:paraId="1C1EE6FC" w14:textId="77777777" w:rsidTr="0030702F">
        <w:tc>
          <w:tcPr>
            <w:tcW w:w="10345" w:type="dxa"/>
          </w:tcPr>
          <w:p w14:paraId="11D10E51" w14:textId="77777777" w:rsidR="00F25BE1" w:rsidRPr="00E054C3" w:rsidRDefault="00F25BE1" w:rsidP="0030702F">
            <w:pPr>
              <w:ind w:right="252"/>
              <w:rPr>
                <w:color w:val="FF0000"/>
              </w:rPr>
            </w:pPr>
            <w:bookmarkStart w:id="19" w:name="Infrastructure"/>
            <w:bookmarkEnd w:id="19"/>
            <w:r>
              <w:lastRenderedPageBreak/>
              <w:t xml:space="preserve">GOAL AREA 1: </w:t>
            </w:r>
            <w:r w:rsidRPr="00CD19DD">
              <w:t>EPP INFRASTRUCTURE</w:t>
            </w:r>
            <w:r>
              <w:rPr>
                <w:b/>
              </w:rPr>
              <w:t xml:space="preserve"> </w:t>
            </w:r>
          </w:p>
        </w:tc>
      </w:tr>
      <w:tr w:rsidR="00F25BE1" w14:paraId="7AA16BE1" w14:textId="77777777" w:rsidTr="0030702F">
        <w:tc>
          <w:tcPr>
            <w:tcW w:w="10345" w:type="dxa"/>
          </w:tcPr>
          <w:p w14:paraId="689015CE" w14:textId="5690D552" w:rsidR="00F25BE1" w:rsidRPr="00CD19DD" w:rsidRDefault="00F25BE1" w:rsidP="0030702F">
            <w:pPr>
              <w:ind w:right="-108"/>
              <w:rPr>
                <w:b/>
              </w:rPr>
            </w:pPr>
            <w:r>
              <w:rPr>
                <w:b/>
              </w:rPr>
              <w:t>Centralize</w:t>
            </w:r>
            <w:r w:rsidRPr="00CD19DD">
              <w:rPr>
                <w:b/>
              </w:rPr>
              <w:t xml:space="preserve"> purchasing policies and procedures, implemented and enforced by the purchasing manager and supported by the CFO, to support</w:t>
            </w:r>
            <w:r w:rsidR="003E0902">
              <w:rPr>
                <w:b/>
              </w:rPr>
              <w:t xml:space="preserve"> effective</w:t>
            </w:r>
            <w:r w:rsidRPr="00CD19DD">
              <w:rPr>
                <w:b/>
              </w:rPr>
              <w:t xml:space="preserve"> environmentally preferable purchasing (EPP)</w:t>
            </w:r>
            <w:r>
              <w:rPr>
                <w:b/>
              </w:rPr>
              <w:t>.</w:t>
            </w:r>
          </w:p>
        </w:tc>
      </w:tr>
      <w:tr w:rsidR="00F25BE1" w14:paraId="33A23237" w14:textId="77777777" w:rsidTr="0030702F">
        <w:tc>
          <w:tcPr>
            <w:tcW w:w="10345" w:type="dxa"/>
          </w:tcPr>
          <w:p w14:paraId="1DB49419" w14:textId="7EEF6077" w:rsidR="00F25BE1" w:rsidRPr="00CD19DD" w:rsidRDefault="00F25BE1" w:rsidP="00F91F37">
            <w:pPr>
              <w:tabs>
                <w:tab w:val="left" w:pos="938"/>
              </w:tabs>
              <w:rPr>
                <w:b/>
              </w:rPr>
            </w:pPr>
            <w:r w:rsidRPr="00FE2F64">
              <w:rPr>
                <w:b/>
              </w:rPr>
              <w:t xml:space="preserve">Embed environmental attribute considerations in purchasing </w:t>
            </w:r>
            <w:r w:rsidR="003E0902">
              <w:rPr>
                <w:b/>
              </w:rPr>
              <w:t xml:space="preserve">standards, </w:t>
            </w:r>
            <w:r w:rsidRPr="00FE2F64">
              <w:rPr>
                <w:b/>
              </w:rPr>
              <w:t>decisions, contracting, and requests for proposal (RFP)</w:t>
            </w:r>
            <w:r w:rsidR="004A2A5D" w:rsidRPr="00FE2F64">
              <w:rPr>
                <w:b/>
              </w:rPr>
              <w:t xml:space="preserve"> to prioritize environmentally preferable product</w:t>
            </w:r>
            <w:r w:rsidR="00F91F37" w:rsidRPr="00FE2F64">
              <w:rPr>
                <w:b/>
              </w:rPr>
              <w:t>s</w:t>
            </w:r>
            <w:r w:rsidR="003E0902">
              <w:rPr>
                <w:b/>
              </w:rPr>
              <w:t xml:space="preserve"> and services</w:t>
            </w:r>
            <w:r w:rsidR="00F91F37" w:rsidRPr="00FE2F64">
              <w:rPr>
                <w:b/>
              </w:rPr>
              <w:t>.</w:t>
            </w:r>
          </w:p>
        </w:tc>
      </w:tr>
    </w:tbl>
    <w:p w14:paraId="2635F87F" w14:textId="77777777" w:rsidR="00F25BE1" w:rsidRPr="0042784A" w:rsidRDefault="00F25BE1" w:rsidP="00803F45">
      <w:pPr>
        <w:spacing w:before="120"/>
      </w:pPr>
      <w:r w:rsidRPr="00084F2B">
        <w:rPr>
          <w:u w:val="single"/>
        </w:rPr>
        <w:t>Rationale</w:t>
      </w:r>
      <w:r>
        <w:t>: Without integrating Environmentally Preferable Purchasing (EPP) into the D-HH purchasing infrastructure, it will be difficult to accomplish the goals below and to maintain a robust EPP program.</w:t>
      </w:r>
    </w:p>
    <w:p w14:paraId="7F8AD8B4" w14:textId="77777777" w:rsidR="00F25BE1" w:rsidRPr="006603B5" w:rsidRDefault="00F25BE1" w:rsidP="00F25BE1">
      <w:pPr>
        <w:spacing w:line="360" w:lineRule="auto"/>
      </w:pPr>
    </w:p>
    <w:tbl>
      <w:tblPr>
        <w:tblStyle w:val="TableGrid"/>
        <w:tblW w:w="10345" w:type="dxa"/>
        <w:tblLook w:val="04A0" w:firstRow="1" w:lastRow="0" w:firstColumn="1" w:lastColumn="0" w:noHBand="0" w:noVBand="1"/>
      </w:tblPr>
      <w:tblGrid>
        <w:gridCol w:w="10345"/>
      </w:tblGrid>
      <w:tr w:rsidR="00F25BE1" w14:paraId="35E6BCDC" w14:textId="77777777" w:rsidTr="0030702F">
        <w:tc>
          <w:tcPr>
            <w:tcW w:w="10345" w:type="dxa"/>
          </w:tcPr>
          <w:p w14:paraId="0CA876EB" w14:textId="77777777" w:rsidR="00F25BE1" w:rsidRDefault="00E75A9F" w:rsidP="00026383">
            <w:bookmarkStart w:id="20" w:name="GreenCleaning"/>
            <w:bookmarkEnd w:id="20"/>
            <w:r>
              <w:t xml:space="preserve">GOAL AREA </w:t>
            </w:r>
            <w:r w:rsidR="00026383">
              <w:t>2</w:t>
            </w:r>
            <w:r w:rsidR="00F25BE1" w:rsidRPr="00375D95">
              <w:rPr>
                <w:caps/>
              </w:rPr>
              <w:t xml:space="preserve">:  </w:t>
            </w:r>
            <w:r w:rsidR="00F25BE1" w:rsidRPr="00CD19DD">
              <w:rPr>
                <w:caps/>
              </w:rPr>
              <w:t>SAFER CHEMICALS</w:t>
            </w:r>
          </w:p>
        </w:tc>
      </w:tr>
      <w:tr w:rsidR="00E75A9F" w14:paraId="353545BF" w14:textId="77777777" w:rsidTr="0030702F">
        <w:tc>
          <w:tcPr>
            <w:tcW w:w="10345" w:type="dxa"/>
            <w:shd w:val="clear" w:color="auto" w:fill="auto"/>
          </w:tcPr>
          <w:p w14:paraId="6FE81332" w14:textId="4A57CB2E" w:rsidR="00E75A9F" w:rsidRPr="00E75A9F" w:rsidRDefault="0088194F" w:rsidP="009C2A67">
            <w:pPr>
              <w:rPr>
                <w:b/>
              </w:rPr>
            </w:pPr>
            <w:r w:rsidRPr="00E75A9F">
              <w:rPr>
                <w:b/>
              </w:rPr>
              <w:t>Eliminate</w:t>
            </w:r>
            <w:r>
              <w:rPr>
                <w:b/>
              </w:rPr>
              <w:t xml:space="preserve"> the</w:t>
            </w:r>
            <w:r w:rsidRPr="00E75A9F">
              <w:rPr>
                <w:b/>
              </w:rPr>
              <w:t xml:space="preserve"> </w:t>
            </w:r>
            <w:r w:rsidRPr="00CD19DD">
              <w:rPr>
                <w:b/>
              </w:rPr>
              <w:t>intentional use of formaldehyde, perfluorinated compounds</w:t>
            </w:r>
            <w:r>
              <w:rPr>
                <w:b/>
              </w:rPr>
              <w:t>, polyvinyl chloride (PVC), antimicrobials, and all flame retardants</w:t>
            </w:r>
            <w:r w:rsidRPr="00E75A9F">
              <w:rPr>
                <w:b/>
              </w:rPr>
              <w:t xml:space="preserve"> from 95% of the annual purchases </w:t>
            </w:r>
            <w:r>
              <w:rPr>
                <w:b/>
              </w:rPr>
              <w:t xml:space="preserve">(based on cost) </w:t>
            </w:r>
            <w:r w:rsidRPr="00E75A9F">
              <w:rPr>
                <w:b/>
              </w:rPr>
              <w:t>of freestanding fu</w:t>
            </w:r>
            <w:r>
              <w:rPr>
                <w:b/>
              </w:rPr>
              <w:t>rniture and medical furnishings.</w:t>
            </w:r>
            <w:r w:rsidR="00E75A9F">
              <w:rPr>
                <w:b/>
              </w:rPr>
              <w:t>*</w:t>
            </w:r>
            <w:r w:rsidR="00256CFA" w:rsidRPr="00256CFA">
              <w:rPr>
                <w:b/>
                <w:vertAlign w:val="superscript"/>
              </w:rPr>
              <w:t>,</w:t>
            </w:r>
            <w:r w:rsidR="00256CFA">
              <w:rPr>
                <w:b/>
              </w:rPr>
              <w:t>**</w:t>
            </w:r>
          </w:p>
        </w:tc>
      </w:tr>
      <w:tr w:rsidR="00F25BE1" w14:paraId="37A9DBB1" w14:textId="77777777" w:rsidTr="0030702F">
        <w:tc>
          <w:tcPr>
            <w:tcW w:w="10345" w:type="dxa"/>
            <w:shd w:val="clear" w:color="auto" w:fill="auto"/>
          </w:tcPr>
          <w:p w14:paraId="57C18F78" w14:textId="62C5B2D2" w:rsidR="00F25BE1" w:rsidRPr="00CD19DD" w:rsidDel="00A96B7C" w:rsidRDefault="00E75A9F" w:rsidP="00E75A9F">
            <w:pPr>
              <w:rPr>
                <w:b/>
              </w:rPr>
            </w:pPr>
            <w:r w:rsidRPr="00E75A9F">
              <w:rPr>
                <w:b/>
              </w:rPr>
              <w:t xml:space="preserve">Identify and substitute safer product alternatives for 10 products with chemicals of </w:t>
            </w:r>
            <w:r>
              <w:rPr>
                <w:b/>
              </w:rPr>
              <w:t>concern*</w:t>
            </w:r>
            <w:r w:rsidR="00256CFA">
              <w:rPr>
                <w:b/>
              </w:rPr>
              <w:t>*</w:t>
            </w:r>
            <w:r>
              <w:rPr>
                <w:b/>
              </w:rPr>
              <w:t>*</w:t>
            </w:r>
            <w:r w:rsidRPr="00E75A9F">
              <w:rPr>
                <w:b/>
              </w:rPr>
              <w:t xml:space="preserve"> that are pervasive in our facilities, where alternatives meet all D-HH requirements</w:t>
            </w:r>
            <w:r>
              <w:rPr>
                <w:b/>
              </w:rPr>
              <w:t xml:space="preserve">. </w:t>
            </w:r>
          </w:p>
        </w:tc>
      </w:tr>
    </w:tbl>
    <w:p w14:paraId="43A072F7" w14:textId="551D100A" w:rsidR="009C2A67" w:rsidRDefault="00E53147" w:rsidP="009C2A67">
      <w:pPr>
        <w:tabs>
          <w:tab w:val="left" w:pos="90"/>
        </w:tabs>
        <w:spacing w:before="60"/>
        <w:ind w:left="86" w:hanging="86"/>
      </w:pPr>
      <w:r>
        <w:t>*</w:t>
      </w:r>
      <w:r w:rsidR="009C2A67" w:rsidRPr="009C2A67">
        <w:t xml:space="preserve"> </w:t>
      </w:r>
      <w:r w:rsidR="009C2A67">
        <w:t>Includes</w:t>
      </w:r>
      <w:r w:rsidR="009C2A67" w:rsidRPr="00256CFA">
        <w:t xml:space="preserve"> seating</w:t>
      </w:r>
      <w:r w:rsidR="009C2A67">
        <w:t xml:space="preserve">, work surfaces, </w:t>
      </w:r>
      <w:r w:rsidR="009C2A67" w:rsidRPr="00256CFA">
        <w:t>built-in and modular casework, systems (walled desks with seating), beds (including mattresses), storage units</w:t>
      </w:r>
      <w:r w:rsidR="009C2A67">
        <w:t xml:space="preserve">, shelving, </w:t>
      </w:r>
      <w:r w:rsidR="009C2A67" w:rsidRPr="00256CFA">
        <w:t>panels and partitions, cubicle curtains, and window coverings.</w:t>
      </w:r>
    </w:p>
    <w:p w14:paraId="0FD415CD" w14:textId="12302D01" w:rsidR="009C2A67" w:rsidRPr="00DA4E40" w:rsidRDefault="009C2A67" w:rsidP="009C2A67">
      <w:pPr>
        <w:tabs>
          <w:tab w:val="left" w:pos="90"/>
        </w:tabs>
        <w:spacing w:before="60"/>
        <w:ind w:left="86" w:hanging="86"/>
      </w:pPr>
      <w:r>
        <w:t xml:space="preserve">**Parameters for antimicrobials and flame retardants defined by </w:t>
      </w:r>
      <w:r w:rsidR="00F548A7">
        <w:t>Healthier Hospitals</w:t>
      </w:r>
      <w:r>
        <w:t xml:space="preserve"> </w:t>
      </w:r>
      <w:hyperlink r:id="rId25" w:history="1">
        <w:r w:rsidR="00F548A7">
          <w:rPr>
            <w:rStyle w:val="Hyperlink"/>
          </w:rPr>
          <w:t>Healthy Interiors Challenge</w:t>
        </w:r>
      </w:hyperlink>
      <w:r>
        <w:t xml:space="preserve">. </w:t>
      </w:r>
    </w:p>
    <w:p w14:paraId="4F9D6DD1" w14:textId="22EBE8ED" w:rsidR="009C2A67" w:rsidRPr="00DA4E40" w:rsidRDefault="009C2A67" w:rsidP="009C2A67">
      <w:r>
        <w:t>***A</w:t>
      </w:r>
      <w:r w:rsidRPr="00DA4E40">
        <w:t>s defined in our Environmental</w:t>
      </w:r>
      <w:r>
        <w:t>ly</w:t>
      </w:r>
      <w:r w:rsidRPr="00DA4E40">
        <w:t xml:space="preserve"> Preferable Purchasing policy</w:t>
      </w:r>
      <w:r w:rsidR="00F548A7">
        <w:t>.</w:t>
      </w:r>
    </w:p>
    <w:p w14:paraId="366DD027" w14:textId="77777777" w:rsidR="006D5011" w:rsidRDefault="00F25BE1" w:rsidP="00775268">
      <w:pPr>
        <w:spacing w:before="120"/>
      </w:pPr>
      <w:r w:rsidRPr="004623B4">
        <w:rPr>
          <w:u w:val="single"/>
        </w:rPr>
        <w:t>Rationale</w:t>
      </w:r>
      <w:r w:rsidRPr="004623B4">
        <w:t xml:space="preserve">: </w:t>
      </w:r>
      <w:r w:rsidR="006D5011">
        <w:t>Furnishings are made of chemicals and materials that may be hazardous and may pose risks to workers, consumers and entire communities throughout their life cycle. Some chemicals in products known as volatile organic compounds (VOCs) vaporize into the air, and workers or consumers inhale them. Since toxic chemicals do not stay in place, from their use in manufacturing and products, they migrate into food, air, water and ecosystems across the globe. (HHI Safer Chemicals How-To Guide)</w:t>
      </w:r>
    </w:p>
    <w:p w14:paraId="2DD732B9" w14:textId="77777777" w:rsidR="006D5011" w:rsidRDefault="006D5011" w:rsidP="00F25BE1"/>
    <w:p w14:paraId="33C1B2C8" w14:textId="77777777" w:rsidR="00F25BE1" w:rsidRDefault="00F25BE1" w:rsidP="00F25BE1">
      <w:r w:rsidRPr="004623B4">
        <w:t xml:space="preserve">As chemical use has grown in industrialized societies, so have chemical-related diseases, including cancer, asthma, birth defects, developmental disabilities, autism, endometriosis, and infertility. Many products still contain unnecessary hazardous chemicals because federal laws regulating chemicals in products have not been updated in more than 30 years. Health care institutions have a particular ethical responsibility to use products containing chemicals that pose less risk to human health. A growing number of hospitals are taking a "better safe than sorry" approach to chemicals, eliminating suspected hazards and switching to safer alternatives. Benefits of this approach to the bottom line can include reduced disposal costs, reduced liability, and improved health for employees, patients, and nearby communities. </w:t>
      </w:r>
      <w:r>
        <w:t>(</w:t>
      </w:r>
      <w:hyperlink r:id="rId26" w:history="1">
        <w:r w:rsidRPr="00CF4F50">
          <w:rPr>
            <w:rStyle w:val="Hyperlink"/>
          </w:rPr>
          <w:t xml:space="preserve">Health Care </w:t>
        </w:r>
        <w:proofErr w:type="gramStart"/>
        <w:r w:rsidRPr="00CF4F50">
          <w:rPr>
            <w:rStyle w:val="Hyperlink"/>
          </w:rPr>
          <w:t>Without</w:t>
        </w:r>
        <w:proofErr w:type="gramEnd"/>
        <w:r w:rsidRPr="00CF4F50">
          <w:rPr>
            <w:rStyle w:val="Hyperlink"/>
          </w:rPr>
          <w:t xml:space="preserve"> Harm website</w:t>
        </w:r>
      </w:hyperlink>
      <w:r>
        <w:t>)</w:t>
      </w:r>
    </w:p>
    <w:p w14:paraId="28F478C0" w14:textId="5569FCA7" w:rsidR="00256CFA" w:rsidRDefault="00256CFA">
      <w:pPr>
        <w:rPr>
          <w:color w:val="0070C0"/>
        </w:rPr>
      </w:pPr>
      <w:bookmarkStart w:id="21" w:name="Packaging"/>
      <w:bookmarkStart w:id="22" w:name="MaterielTransport"/>
      <w:bookmarkEnd w:id="21"/>
      <w:bookmarkEnd w:id="22"/>
    </w:p>
    <w:tbl>
      <w:tblPr>
        <w:tblStyle w:val="TableGrid"/>
        <w:tblW w:w="10345" w:type="dxa"/>
        <w:tblLook w:val="04A0" w:firstRow="1" w:lastRow="0" w:firstColumn="1" w:lastColumn="0" w:noHBand="0" w:noVBand="1"/>
      </w:tblPr>
      <w:tblGrid>
        <w:gridCol w:w="10345"/>
      </w:tblGrid>
      <w:tr w:rsidR="00026383" w14:paraId="51B4610E" w14:textId="77777777" w:rsidTr="0030702F">
        <w:tc>
          <w:tcPr>
            <w:tcW w:w="10345" w:type="dxa"/>
          </w:tcPr>
          <w:p w14:paraId="45C92C46" w14:textId="77777777" w:rsidR="00026383" w:rsidRDefault="00026383" w:rsidP="0030702F">
            <w:bookmarkStart w:id="23" w:name="SurgicalKits"/>
            <w:bookmarkEnd w:id="23"/>
            <w:r>
              <w:t xml:space="preserve">GOAL AREA 3: </w:t>
            </w:r>
            <w:r w:rsidRPr="00CD19DD">
              <w:t>SURGICAL KIT REVIEW</w:t>
            </w:r>
            <w:r>
              <w:rPr>
                <w:b/>
              </w:rPr>
              <w:t xml:space="preserve"> </w:t>
            </w:r>
          </w:p>
        </w:tc>
      </w:tr>
      <w:tr w:rsidR="00026383" w:rsidRPr="005900DF" w14:paraId="59FAFAEE" w14:textId="77777777" w:rsidTr="0030702F">
        <w:tc>
          <w:tcPr>
            <w:tcW w:w="10345" w:type="dxa"/>
          </w:tcPr>
          <w:p w14:paraId="0FFC37F2" w14:textId="4A01A9CA" w:rsidR="00026383" w:rsidRPr="00CD19DD" w:rsidRDefault="00026383" w:rsidP="006B61C0">
            <w:pPr>
              <w:rPr>
                <w:b/>
              </w:rPr>
            </w:pPr>
            <w:r w:rsidRPr="00CD19DD">
              <w:rPr>
                <w:b/>
              </w:rPr>
              <w:t>Standardize all surgical instruments and supplies by case type, with a transparent tracking and reporting exception process, for all procedural areas</w:t>
            </w:r>
            <w:r w:rsidR="00FE2F64">
              <w:rPr>
                <w:b/>
              </w:rPr>
              <w:t xml:space="preserve"> at DHMC</w:t>
            </w:r>
            <w:r w:rsidRPr="00CD19DD">
              <w:rPr>
                <w:b/>
              </w:rPr>
              <w:t xml:space="preserve">* </w:t>
            </w:r>
            <w:r w:rsidR="00FE2F64">
              <w:rPr>
                <w:b/>
              </w:rPr>
              <w:t xml:space="preserve">and </w:t>
            </w:r>
            <w:r w:rsidRPr="00CD19DD">
              <w:rPr>
                <w:b/>
              </w:rPr>
              <w:t xml:space="preserve">throughout </w:t>
            </w:r>
            <w:r w:rsidRPr="00FE2F64">
              <w:rPr>
                <w:b/>
              </w:rPr>
              <w:t>the D-HH network</w:t>
            </w:r>
            <w:r w:rsidR="006B61C0" w:rsidRPr="00FE2F64">
              <w:rPr>
                <w:b/>
              </w:rPr>
              <w:t>.</w:t>
            </w:r>
          </w:p>
        </w:tc>
      </w:tr>
    </w:tbl>
    <w:p w14:paraId="0C796943" w14:textId="4F538EA2" w:rsidR="00026383" w:rsidRPr="005900DF" w:rsidRDefault="00026383" w:rsidP="002C232E">
      <w:pPr>
        <w:spacing w:before="60"/>
      </w:pPr>
      <w:r w:rsidRPr="005900DF">
        <w:t>*</w:t>
      </w:r>
      <w:r w:rsidR="00FE2F64">
        <w:t xml:space="preserve"> </w:t>
      </w:r>
      <w:r w:rsidRPr="005900DF">
        <w:t>MOR, OSC, endoscopy, interventional radiology, cath</w:t>
      </w:r>
      <w:r w:rsidR="00D218B4">
        <w:t>eterization</w:t>
      </w:r>
      <w:r w:rsidRPr="005900DF">
        <w:t xml:space="preserve"> lab, EP lab, birthing pavilion</w:t>
      </w:r>
      <w:r w:rsidR="00F548A7">
        <w:t>.</w:t>
      </w:r>
    </w:p>
    <w:p w14:paraId="28C7D8ED" w14:textId="77777777" w:rsidR="00026383" w:rsidRDefault="00026383" w:rsidP="00026383">
      <w:pPr>
        <w:spacing w:line="120" w:lineRule="auto"/>
      </w:pPr>
    </w:p>
    <w:p w14:paraId="15D9CEAC" w14:textId="7728B196" w:rsidR="00DF2F36" w:rsidRDefault="00026383" w:rsidP="00026383">
      <w:r>
        <w:rPr>
          <w:u w:val="single"/>
        </w:rPr>
        <w:t>Rationale</w:t>
      </w:r>
      <w:r>
        <w:t>: D-HH reviewed 75% of DHMC surgical kits in 2014, looking at purchased supplies and surgical instruments. This work resulted in: reduction in annual case-cart supplies of $858,759; reduction in overall number of instrument sets from 152 to 111; and reduction of number of instruments processed each year by 485,489 (or 91,753 pounds), which eliminated $606,861 in estimated annual labor costs</w:t>
      </w:r>
      <w:bookmarkStart w:id="24" w:name="SUDs"/>
      <w:bookmarkEnd w:id="24"/>
      <w:r>
        <w:t>.</w:t>
      </w:r>
    </w:p>
    <w:p w14:paraId="5FDA5667" w14:textId="77777777" w:rsidR="00D43D12" w:rsidRDefault="00D43D12" w:rsidP="00D43D12">
      <w:pPr>
        <w:pStyle w:val="Heading1"/>
      </w:pPr>
      <w:bookmarkStart w:id="25" w:name="_Toc440523758"/>
      <w:r w:rsidRPr="00566CF0">
        <w:lastRenderedPageBreak/>
        <w:t>Healthier Food</w:t>
      </w:r>
      <w:bookmarkEnd w:id="25"/>
      <w:r w:rsidRPr="00566CF0">
        <w:t xml:space="preserve"> </w:t>
      </w:r>
    </w:p>
    <w:p w14:paraId="563196EA" w14:textId="77777777" w:rsidR="00D43D12" w:rsidRPr="00DF4AB3" w:rsidRDefault="00D43D12" w:rsidP="00D43D12">
      <w:pPr>
        <w:rPr>
          <w:rFonts w:cstheme="minorHAnsi"/>
        </w:rPr>
      </w:pPr>
      <w:r>
        <w:rPr>
          <w:rFonts w:cstheme="minorHAnsi"/>
        </w:rPr>
        <w:t xml:space="preserve">How </w:t>
      </w:r>
      <w:r w:rsidRPr="007F034A">
        <w:rPr>
          <w:rFonts w:cstheme="minorHAnsi"/>
        </w:rPr>
        <w:t>food is produced, processed, packaged, distributed and consumed in the U.S. has a significant impact on human health, climate change, air and water pollution and the viability of future agricultural production.</w:t>
      </w:r>
      <w:r>
        <w:rPr>
          <w:rFonts w:cstheme="minorHAnsi"/>
        </w:rPr>
        <w:t xml:space="preserve"> </w:t>
      </w:r>
      <w:r w:rsidRPr="00DF4AB3">
        <w:rPr>
          <w:rFonts w:cstheme="minorHAnsi"/>
        </w:rPr>
        <w:t>The current industrial food system favors long distance distribution of highly processed foods over local and fresh foods, and despite producing large quantities of food, it is wrought by poor nutrition, food insecurity, obesity, and other chronic diseases. Rising rates of food-related chronic diseases are socially and economically-devastating to families and communities and represent an increasing drain on health care resources. Cancer, heart disease, diabetes, and other chronic conditions account for $3 out of every $4 spent on health care nationally.</w:t>
      </w:r>
      <w:r>
        <w:rPr>
          <w:rFonts w:cstheme="minorHAnsi"/>
        </w:rPr>
        <w:t xml:space="preserve"> </w:t>
      </w:r>
      <w:r w:rsidRPr="00DF4AB3">
        <w:rPr>
          <w:rFonts w:cstheme="minorHAnsi"/>
        </w:rPr>
        <w:t>(</w:t>
      </w:r>
      <w:hyperlink r:id="rId27" w:history="1">
        <w:r w:rsidRPr="004B2E25">
          <w:rPr>
            <w:rStyle w:val="Hyperlink"/>
            <w:rFonts w:cstheme="minorHAnsi"/>
            <w:i/>
          </w:rPr>
          <w:t>New England Healthy Food in Health Care</w:t>
        </w:r>
        <w:r>
          <w:rPr>
            <w:rStyle w:val="Hyperlink"/>
            <w:rFonts w:cstheme="minorHAnsi"/>
            <w:i/>
          </w:rPr>
          <w:t>,</w:t>
        </w:r>
        <w:r w:rsidRPr="004B2E25">
          <w:rPr>
            <w:rStyle w:val="Hyperlink"/>
            <w:rFonts w:cstheme="minorHAnsi"/>
          </w:rPr>
          <w:t xml:space="preserve"> May 2014</w:t>
        </w:r>
      </w:hyperlink>
      <w:r w:rsidRPr="00DF4AB3">
        <w:rPr>
          <w:rFonts w:cstheme="minorHAnsi"/>
        </w:rPr>
        <w:t>)</w:t>
      </w:r>
    </w:p>
    <w:p w14:paraId="4777859F" w14:textId="77777777" w:rsidR="00D43D12" w:rsidRDefault="00D43D12" w:rsidP="00D43D12"/>
    <w:p w14:paraId="4F4DECD8" w14:textId="77777777" w:rsidR="00D43D12" w:rsidRDefault="00D43D12" w:rsidP="00D43D12">
      <w:pPr>
        <w:rPr>
          <w:u w:val="single"/>
        </w:rPr>
      </w:pPr>
      <w:r>
        <w:rPr>
          <w:u w:val="single"/>
        </w:rPr>
        <w:t>Goal Areas</w:t>
      </w:r>
    </w:p>
    <w:p w14:paraId="7B83EA44" w14:textId="77777777" w:rsidR="00D43D12" w:rsidRDefault="00D43D12" w:rsidP="00D43D12">
      <w:pPr>
        <w:pStyle w:val="ListParagraph"/>
        <w:numPr>
          <w:ilvl w:val="0"/>
          <w:numId w:val="8"/>
        </w:numPr>
        <w:tabs>
          <w:tab w:val="left" w:pos="360"/>
        </w:tabs>
      </w:pPr>
      <w:r w:rsidRPr="00D43D12">
        <w:t xml:space="preserve">LOCAL AND SUSTAINABLE FOOD  </w:t>
      </w:r>
    </w:p>
    <w:p w14:paraId="0EBF1DB4" w14:textId="77777777" w:rsidR="00D43D12" w:rsidRPr="00D43D12" w:rsidRDefault="00D43D12" w:rsidP="00D43D12">
      <w:pPr>
        <w:pStyle w:val="ListParagraph"/>
        <w:numPr>
          <w:ilvl w:val="0"/>
          <w:numId w:val="8"/>
        </w:numPr>
        <w:tabs>
          <w:tab w:val="left" w:pos="360"/>
        </w:tabs>
        <w:rPr>
          <w:u w:val="single"/>
        </w:rPr>
      </w:pPr>
      <w:r w:rsidRPr="00D43D12">
        <w:t>MEAT RAI</w:t>
      </w:r>
      <w:r>
        <w:t>SED WITHOUT ROUTINE ANTIBIOTICS</w:t>
      </w:r>
    </w:p>
    <w:p w14:paraId="54E3448D" w14:textId="77777777" w:rsidR="00D43D12" w:rsidRPr="00D43D12" w:rsidRDefault="00D43D12" w:rsidP="00D43D12">
      <w:pPr>
        <w:pStyle w:val="ListParagraph"/>
        <w:numPr>
          <w:ilvl w:val="0"/>
          <w:numId w:val="8"/>
        </w:numPr>
        <w:tabs>
          <w:tab w:val="left" w:pos="360"/>
        </w:tabs>
        <w:rPr>
          <w:u w:val="single"/>
        </w:rPr>
      </w:pPr>
      <w:r>
        <w:t xml:space="preserve">MEAT REDUCTION </w:t>
      </w:r>
    </w:p>
    <w:p w14:paraId="2DC9BDF9" w14:textId="77777777" w:rsidR="00D43D12" w:rsidRDefault="00D43D12" w:rsidP="00D43D12">
      <w:pPr>
        <w:pStyle w:val="ListParagraph"/>
        <w:numPr>
          <w:ilvl w:val="0"/>
          <w:numId w:val="8"/>
        </w:numPr>
        <w:tabs>
          <w:tab w:val="left" w:pos="360"/>
        </w:tabs>
        <w:rPr>
          <w:u w:val="single"/>
        </w:rPr>
      </w:pPr>
      <w:r w:rsidRPr="00D43D12">
        <w:t>HEALTHY EATING: COMMUNITY</w:t>
      </w:r>
      <w:r w:rsidRPr="00D43D12">
        <w:rPr>
          <w:u w:val="single"/>
        </w:rPr>
        <w:cr/>
      </w:r>
    </w:p>
    <w:tbl>
      <w:tblPr>
        <w:tblStyle w:val="TableGrid"/>
        <w:tblW w:w="0" w:type="auto"/>
        <w:tblLook w:val="04A0" w:firstRow="1" w:lastRow="0" w:firstColumn="1" w:lastColumn="0" w:noHBand="0" w:noVBand="1"/>
      </w:tblPr>
      <w:tblGrid>
        <w:gridCol w:w="10214"/>
      </w:tblGrid>
      <w:tr w:rsidR="00D43D12" w:rsidRPr="00083964" w14:paraId="551A20AD" w14:textId="77777777" w:rsidTr="0030702F">
        <w:tc>
          <w:tcPr>
            <w:tcW w:w="10368" w:type="dxa"/>
          </w:tcPr>
          <w:p w14:paraId="2F89D0C0" w14:textId="77777777" w:rsidR="00D43D12" w:rsidRPr="00083964" w:rsidRDefault="00D43D12" w:rsidP="0030702F">
            <w:pPr>
              <w:rPr>
                <w:rFonts w:cstheme="minorHAnsi"/>
              </w:rPr>
            </w:pPr>
            <w:bookmarkStart w:id="26" w:name="Sustainable"/>
            <w:bookmarkEnd w:id="26"/>
            <w:r>
              <w:rPr>
                <w:rFonts w:cstheme="minorHAnsi"/>
              </w:rPr>
              <w:t>GOAL AREA 1</w:t>
            </w:r>
            <w:r w:rsidRPr="00083964">
              <w:rPr>
                <w:rFonts w:cstheme="minorHAnsi"/>
                <w:caps/>
              </w:rPr>
              <w:t>:  LOCal and SUSTAINABLE food</w:t>
            </w:r>
          </w:p>
        </w:tc>
      </w:tr>
      <w:tr w:rsidR="00D43D12" w:rsidRPr="00DF4AB3" w14:paraId="38731531" w14:textId="77777777" w:rsidTr="0030702F">
        <w:tc>
          <w:tcPr>
            <w:tcW w:w="10368" w:type="dxa"/>
          </w:tcPr>
          <w:p w14:paraId="66647F43" w14:textId="77777777" w:rsidR="00D43D12" w:rsidRPr="00083964" w:rsidRDefault="00D43D12" w:rsidP="00D43D12">
            <w:pPr>
              <w:rPr>
                <w:rFonts w:cstheme="minorHAnsi"/>
                <w:b/>
              </w:rPr>
            </w:pPr>
            <w:r>
              <w:rPr>
                <w:rFonts w:cstheme="minorHAnsi"/>
                <w:b/>
              </w:rPr>
              <w:t>Increase l</w:t>
            </w:r>
            <w:r w:rsidRPr="00083964">
              <w:rPr>
                <w:rFonts w:cstheme="minorHAnsi"/>
                <w:b/>
              </w:rPr>
              <w:t xml:space="preserve">ocal and/or certified sustainable food* purchases </w:t>
            </w:r>
            <w:r>
              <w:rPr>
                <w:rFonts w:cstheme="minorHAnsi"/>
                <w:b/>
              </w:rPr>
              <w:t>to</w:t>
            </w:r>
            <w:r w:rsidRPr="00083964">
              <w:rPr>
                <w:rFonts w:cstheme="minorHAnsi"/>
                <w:b/>
              </w:rPr>
              <w:t xml:space="preserve"> 35% of total food purchases</w:t>
            </w:r>
            <w:r>
              <w:rPr>
                <w:rFonts w:cstheme="minorHAnsi"/>
                <w:b/>
              </w:rPr>
              <w:t>.</w:t>
            </w:r>
          </w:p>
        </w:tc>
      </w:tr>
      <w:tr w:rsidR="00D43D12" w:rsidRPr="00DF4AB3" w14:paraId="63337F8B" w14:textId="77777777" w:rsidTr="0030702F">
        <w:tc>
          <w:tcPr>
            <w:tcW w:w="10368" w:type="dxa"/>
          </w:tcPr>
          <w:p w14:paraId="3200C933" w14:textId="77777777" w:rsidR="00D43D12" w:rsidRPr="00083964" w:rsidRDefault="00D43D12" w:rsidP="00D43D12">
            <w:pPr>
              <w:rPr>
                <w:rFonts w:cstheme="minorHAnsi"/>
                <w:b/>
              </w:rPr>
            </w:pPr>
            <w:r>
              <w:rPr>
                <w:rFonts w:cstheme="minorHAnsi"/>
                <w:b/>
              </w:rPr>
              <w:t>Increase l</w:t>
            </w:r>
            <w:r w:rsidRPr="00083964">
              <w:rPr>
                <w:rFonts w:cstheme="minorHAnsi"/>
                <w:b/>
              </w:rPr>
              <w:t xml:space="preserve">ocal produce purchases </w:t>
            </w:r>
            <w:r>
              <w:rPr>
                <w:rFonts w:cstheme="minorHAnsi"/>
                <w:b/>
              </w:rPr>
              <w:t>to</w:t>
            </w:r>
            <w:r w:rsidRPr="00083964">
              <w:rPr>
                <w:rFonts w:cstheme="minorHAnsi"/>
                <w:b/>
              </w:rPr>
              <w:t xml:space="preserve"> 15% of overall produce purchases</w:t>
            </w:r>
            <w:r>
              <w:rPr>
                <w:rFonts w:cstheme="minorHAnsi"/>
                <w:b/>
              </w:rPr>
              <w:t>.</w:t>
            </w:r>
            <w:r w:rsidRPr="00083964">
              <w:rPr>
                <w:rFonts w:cstheme="minorHAnsi"/>
                <w:b/>
              </w:rPr>
              <w:t xml:space="preserve"> </w:t>
            </w:r>
          </w:p>
        </w:tc>
      </w:tr>
      <w:tr w:rsidR="00D43D12" w:rsidRPr="00DF4AB3" w14:paraId="225DFF42" w14:textId="77777777" w:rsidTr="0030702F">
        <w:tc>
          <w:tcPr>
            <w:tcW w:w="10368" w:type="dxa"/>
          </w:tcPr>
          <w:p w14:paraId="49B0E56A" w14:textId="77777777" w:rsidR="00D43D12" w:rsidRPr="00083964" w:rsidRDefault="00666D8A" w:rsidP="00666D8A">
            <w:pPr>
              <w:rPr>
                <w:rFonts w:cstheme="minorHAnsi"/>
                <w:b/>
                <w:color w:val="92D050"/>
              </w:rPr>
            </w:pPr>
            <w:r>
              <w:rPr>
                <w:rFonts w:cstheme="minorHAnsi"/>
                <w:b/>
              </w:rPr>
              <w:t xml:space="preserve">Increase purchases of seafood sourced from New England to 15% of total seafood purchases. </w:t>
            </w:r>
          </w:p>
        </w:tc>
      </w:tr>
    </w:tbl>
    <w:p w14:paraId="0B164219" w14:textId="5C24EFFC" w:rsidR="00D43D12" w:rsidRPr="00DF4AB3" w:rsidRDefault="00D43D12" w:rsidP="00D218B4">
      <w:pPr>
        <w:spacing w:before="60" w:line="240" w:lineRule="auto"/>
        <w:ind w:left="86" w:hanging="86"/>
        <w:rPr>
          <w:rFonts w:cstheme="minorHAnsi"/>
          <w:sz w:val="20"/>
          <w:szCs w:val="20"/>
        </w:rPr>
      </w:pPr>
      <w:r w:rsidRPr="00DF4AB3">
        <w:rPr>
          <w:rFonts w:cstheme="minorHAnsi"/>
          <w:sz w:val="20"/>
          <w:szCs w:val="20"/>
        </w:rPr>
        <w:t>*</w:t>
      </w:r>
      <w:r w:rsidRPr="001F173D">
        <w:rPr>
          <w:rFonts w:cstheme="minorHAnsi"/>
        </w:rPr>
        <w:t xml:space="preserve">Consistent with definitions of “local” and “sustainable” promulgated by Health Care </w:t>
      </w:r>
      <w:proofErr w:type="gramStart"/>
      <w:r w:rsidRPr="001F173D">
        <w:rPr>
          <w:rFonts w:cstheme="minorHAnsi"/>
        </w:rPr>
        <w:t>Without</w:t>
      </w:r>
      <w:proofErr w:type="gramEnd"/>
      <w:r w:rsidRPr="001F173D">
        <w:rPr>
          <w:rFonts w:cstheme="minorHAnsi"/>
        </w:rPr>
        <w:t xml:space="preserve"> Harm’s Healthy Food in Health Care program</w:t>
      </w:r>
      <w:r w:rsidR="001F173D">
        <w:rPr>
          <w:rFonts w:cstheme="minorHAnsi"/>
        </w:rPr>
        <w:t>.</w:t>
      </w:r>
    </w:p>
    <w:p w14:paraId="594AF49F" w14:textId="6F2A1466" w:rsidR="002C232E" w:rsidRDefault="00D43D12" w:rsidP="00D218B4">
      <w:pPr>
        <w:spacing w:before="120"/>
        <w:rPr>
          <w:rFonts w:cstheme="minorHAnsi"/>
        </w:rPr>
      </w:pPr>
      <w:r w:rsidRPr="00DF4AB3">
        <w:rPr>
          <w:rFonts w:cstheme="minorHAnsi"/>
          <w:u w:val="single"/>
        </w:rPr>
        <w:t>Rationale</w:t>
      </w:r>
      <w:r w:rsidRPr="00DF4AB3">
        <w:rPr>
          <w:rFonts w:cstheme="minorHAnsi"/>
        </w:rPr>
        <w:t>: Diesel exhaust from transporting food long distances is a factor of food production that contributes to air pollution, which can lead to asthma and other respiratory illnesses, cardiovascular disease and lung cancer. By providing fresh, locally grown foods whenever possible, health care supports local food systems. (</w:t>
      </w:r>
      <w:hyperlink r:id="rId28" w:history="1">
        <w:r w:rsidRPr="00BF531A">
          <w:rPr>
            <w:rStyle w:val="Hyperlink"/>
            <w:rFonts w:cstheme="minorHAnsi"/>
            <w:i/>
          </w:rPr>
          <w:t>Food and Food Purchasing: A Role for Health Care</w:t>
        </w:r>
        <w:r w:rsidRPr="00BF531A">
          <w:rPr>
            <w:rStyle w:val="Hyperlink"/>
            <w:rFonts w:cstheme="minorHAnsi"/>
          </w:rPr>
          <w:t>, 2006</w:t>
        </w:r>
      </w:hyperlink>
      <w:r w:rsidRPr="00DF4AB3">
        <w:rPr>
          <w:rFonts w:cstheme="minorHAnsi"/>
        </w:rPr>
        <w:t>)</w:t>
      </w:r>
      <w:r>
        <w:rPr>
          <w:rFonts w:cstheme="minorHAnsi"/>
        </w:rPr>
        <w:t>.</w:t>
      </w:r>
      <w:r w:rsidRPr="00610822">
        <w:rPr>
          <w:rFonts w:cstheme="minorHAnsi"/>
        </w:rPr>
        <w:t xml:space="preserve"> </w:t>
      </w:r>
      <w:r>
        <w:rPr>
          <w:rFonts w:cstheme="minorHAnsi"/>
        </w:rPr>
        <w:t>Certified s</w:t>
      </w:r>
      <w:r w:rsidRPr="00DF4AB3">
        <w:rPr>
          <w:rFonts w:cstheme="minorHAnsi"/>
        </w:rPr>
        <w:t>ustainable products are produ</w:t>
      </w:r>
      <w:r>
        <w:rPr>
          <w:rFonts w:cstheme="minorHAnsi"/>
        </w:rPr>
        <w:t xml:space="preserve">ced in a manner that limits </w:t>
      </w:r>
      <w:r w:rsidRPr="00DF4AB3">
        <w:rPr>
          <w:rFonts w:cstheme="minorHAnsi"/>
        </w:rPr>
        <w:t xml:space="preserve">harm to the </w:t>
      </w:r>
      <w:r>
        <w:rPr>
          <w:rFonts w:cstheme="minorHAnsi"/>
        </w:rPr>
        <w:t xml:space="preserve">natural </w:t>
      </w:r>
      <w:r w:rsidRPr="00DF4AB3">
        <w:rPr>
          <w:rFonts w:cstheme="minorHAnsi"/>
        </w:rPr>
        <w:t>environment, public health and animal welfare,</w:t>
      </w:r>
      <w:r>
        <w:rPr>
          <w:rFonts w:cstheme="minorHAnsi"/>
        </w:rPr>
        <w:t xml:space="preserve"> and promote</w:t>
      </w:r>
      <w:r w:rsidRPr="00DF4AB3">
        <w:rPr>
          <w:rFonts w:cstheme="minorHAnsi"/>
        </w:rPr>
        <w:t xml:space="preserve"> societal and economic well-being. </w:t>
      </w:r>
    </w:p>
    <w:p w14:paraId="28FC6CA7" w14:textId="77777777" w:rsidR="00E87119" w:rsidRPr="00160EB9" w:rsidRDefault="00E87119" w:rsidP="00E87119"/>
    <w:tbl>
      <w:tblPr>
        <w:tblStyle w:val="TableGrid"/>
        <w:tblW w:w="0" w:type="auto"/>
        <w:tblLook w:val="04A0" w:firstRow="1" w:lastRow="0" w:firstColumn="1" w:lastColumn="0" w:noHBand="0" w:noVBand="1"/>
      </w:tblPr>
      <w:tblGrid>
        <w:gridCol w:w="10214"/>
      </w:tblGrid>
      <w:tr w:rsidR="00D43D12" w:rsidRPr="00DF4AB3" w14:paraId="69BA54BE" w14:textId="77777777" w:rsidTr="002C232E">
        <w:tc>
          <w:tcPr>
            <w:tcW w:w="10214" w:type="dxa"/>
          </w:tcPr>
          <w:p w14:paraId="2B9762E9" w14:textId="77777777" w:rsidR="00D43D12" w:rsidRPr="00DF4AB3" w:rsidRDefault="00D43D12" w:rsidP="0030702F">
            <w:pPr>
              <w:rPr>
                <w:rFonts w:cstheme="minorHAnsi"/>
              </w:rPr>
            </w:pPr>
            <w:bookmarkStart w:id="27" w:name="NoAbx"/>
            <w:bookmarkEnd w:id="27"/>
            <w:r>
              <w:rPr>
                <w:rFonts w:cstheme="minorHAnsi"/>
              </w:rPr>
              <w:t>GOAL AREA 2</w:t>
            </w:r>
            <w:r w:rsidRPr="00DF4AB3">
              <w:rPr>
                <w:rFonts w:cstheme="minorHAnsi"/>
              </w:rPr>
              <w:t xml:space="preserve">: </w:t>
            </w:r>
            <w:r w:rsidRPr="00083964">
              <w:rPr>
                <w:rFonts w:cstheme="minorHAnsi"/>
              </w:rPr>
              <w:t>MEAT RAISED WITHOUT ROUTINE ANTIBIOTICS</w:t>
            </w:r>
          </w:p>
        </w:tc>
      </w:tr>
      <w:tr w:rsidR="00D43D12" w:rsidRPr="00DF4AB3" w14:paraId="5BAC8272" w14:textId="77777777" w:rsidTr="002C232E">
        <w:tc>
          <w:tcPr>
            <w:tcW w:w="10214" w:type="dxa"/>
          </w:tcPr>
          <w:p w14:paraId="2C51DD88" w14:textId="77777777" w:rsidR="00D43D12" w:rsidRPr="00083964" w:rsidRDefault="00F5474F" w:rsidP="00F5474F">
            <w:pPr>
              <w:rPr>
                <w:rFonts w:cstheme="minorHAnsi"/>
                <w:b/>
              </w:rPr>
            </w:pPr>
            <w:r w:rsidRPr="00F5474F">
              <w:rPr>
                <w:rFonts w:cstheme="minorHAnsi"/>
                <w:b/>
              </w:rPr>
              <w:t>Increase purchases of chicken</w:t>
            </w:r>
            <w:r>
              <w:rPr>
                <w:rFonts w:cstheme="minorHAnsi"/>
                <w:b/>
              </w:rPr>
              <w:t>*</w:t>
            </w:r>
            <w:r w:rsidRPr="00F5474F">
              <w:rPr>
                <w:rFonts w:cstheme="minorHAnsi"/>
                <w:b/>
              </w:rPr>
              <w:t xml:space="preserve"> raised without routine antibiotics to 100% of total chicken purchases</w:t>
            </w:r>
            <w:r>
              <w:rPr>
                <w:rFonts w:cstheme="minorHAnsi"/>
                <w:b/>
              </w:rPr>
              <w:t>.</w:t>
            </w:r>
            <w:r w:rsidR="00D43D12" w:rsidRPr="00083964">
              <w:rPr>
                <w:rFonts w:cstheme="minorHAnsi"/>
                <w:b/>
              </w:rPr>
              <w:t xml:space="preserve"> </w:t>
            </w:r>
          </w:p>
        </w:tc>
      </w:tr>
      <w:tr w:rsidR="00D43D12" w:rsidRPr="00DF4AB3" w14:paraId="3D51F7F7" w14:textId="77777777" w:rsidTr="002C232E">
        <w:tc>
          <w:tcPr>
            <w:tcW w:w="10214" w:type="dxa"/>
          </w:tcPr>
          <w:p w14:paraId="041539AB" w14:textId="77777777" w:rsidR="00D43D12" w:rsidRPr="00083964" w:rsidRDefault="00F5474F" w:rsidP="0030702F">
            <w:pPr>
              <w:tabs>
                <w:tab w:val="left" w:pos="938"/>
              </w:tabs>
              <w:rPr>
                <w:rFonts w:cstheme="minorHAnsi"/>
                <w:b/>
              </w:rPr>
            </w:pPr>
            <w:r w:rsidRPr="00F5474F">
              <w:rPr>
                <w:rFonts w:cstheme="minorHAnsi"/>
                <w:b/>
              </w:rPr>
              <w:t>Increase purchases of all other meats (not including chicken) raised without routine antibiotics to 35% of total other meats purchased.</w:t>
            </w:r>
          </w:p>
        </w:tc>
      </w:tr>
    </w:tbl>
    <w:p w14:paraId="0CA283F8" w14:textId="1282526A" w:rsidR="00D43D12" w:rsidRPr="001F173D" w:rsidRDefault="001F173D" w:rsidP="00D218B4">
      <w:pPr>
        <w:spacing w:before="60"/>
        <w:rPr>
          <w:rFonts w:cstheme="minorHAnsi"/>
        </w:rPr>
      </w:pPr>
      <w:r>
        <w:rPr>
          <w:rFonts w:cstheme="minorHAnsi"/>
        </w:rPr>
        <w:t>*D</w:t>
      </w:r>
      <w:r w:rsidR="00D43D12" w:rsidRPr="001F173D">
        <w:rPr>
          <w:rFonts w:cstheme="minorHAnsi"/>
        </w:rPr>
        <w:t>oes not include processed products like chicken broth or jarred and pureed products</w:t>
      </w:r>
      <w:r>
        <w:rPr>
          <w:rFonts w:cstheme="minorHAnsi"/>
        </w:rPr>
        <w:t>.</w:t>
      </w:r>
    </w:p>
    <w:p w14:paraId="056C6194" w14:textId="6F31B2DD" w:rsidR="00DF2F36" w:rsidRDefault="00D43D12" w:rsidP="00D218B4">
      <w:pPr>
        <w:spacing w:before="120"/>
        <w:rPr>
          <w:rFonts w:cstheme="minorHAnsi"/>
        </w:rPr>
      </w:pPr>
      <w:r w:rsidRPr="00DF4AB3">
        <w:rPr>
          <w:rFonts w:cstheme="minorHAnsi"/>
          <w:u w:val="single"/>
        </w:rPr>
        <w:t>Rationale</w:t>
      </w:r>
      <w:r w:rsidRPr="00DF4AB3">
        <w:rPr>
          <w:rFonts w:cstheme="minorHAnsi"/>
        </w:rPr>
        <w:t xml:space="preserve">: </w:t>
      </w:r>
      <w:r>
        <w:rPr>
          <w:rFonts w:cstheme="minorHAnsi"/>
        </w:rPr>
        <w:t xml:space="preserve"> </w:t>
      </w:r>
      <w:r w:rsidRPr="00DF4AB3">
        <w:rPr>
          <w:rFonts w:cstheme="minorHAnsi"/>
        </w:rPr>
        <w:t xml:space="preserve">Each year, 23,000 Americans die as a result of antibiotic resistant infections. The vast majority of antibiotics in the U.S. are not used in human medicine—they are used in animal agriculture – and about 70% of the  antibiotics used are also used to treat human infections, such as </w:t>
      </w:r>
      <w:proofErr w:type="spellStart"/>
      <w:r w:rsidRPr="00DF4AB3">
        <w:rPr>
          <w:rFonts w:cstheme="minorHAnsi"/>
        </w:rPr>
        <w:t>penicillins</w:t>
      </w:r>
      <w:proofErr w:type="spellEnd"/>
      <w:r w:rsidRPr="00DF4AB3">
        <w:rPr>
          <w:rFonts w:cstheme="minorHAnsi"/>
        </w:rPr>
        <w:t xml:space="preserve">, macrolides, sulfas, and </w:t>
      </w:r>
      <w:proofErr w:type="spellStart"/>
      <w:r w:rsidRPr="00DF4AB3">
        <w:rPr>
          <w:rFonts w:cstheme="minorHAnsi"/>
        </w:rPr>
        <w:t>tetracyclines</w:t>
      </w:r>
      <w:proofErr w:type="spellEnd"/>
      <w:r w:rsidRPr="00DF4AB3">
        <w:rPr>
          <w:rFonts w:cstheme="minorHAnsi"/>
        </w:rPr>
        <w:t>. These antibiotics are given routinely to otherwise healthy food animals to compen</w:t>
      </w:r>
      <w:r w:rsidRPr="00DF4AB3">
        <w:rPr>
          <w:rFonts w:cstheme="minorHAnsi"/>
        </w:rPr>
        <w:softHyphen/>
        <w:t>sate for overcrowded and unsanitary living conditions. More than 300 leading medical organizations, including the Ameri</w:t>
      </w:r>
      <w:r w:rsidRPr="00DF4AB3">
        <w:rPr>
          <w:rFonts w:cstheme="minorHAnsi"/>
        </w:rPr>
        <w:softHyphen/>
        <w:t>can Medical Association, the American Public Health Association, and the American Academy of Pediatrics have openly advocated ending the use of non-therapeutic antibiotics in animal agriculture to protect public health and the environment. (</w:t>
      </w:r>
      <w:hyperlink r:id="rId29" w:history="1">
        <w:r w:rsidRPr="00775C13">
          <w:rPr>
            <w:rStyle w:val="Hyperlink"/>
            <w:rFonts w:cstheme="minorHAnsi"/>
            <w:i/>
          </w:rPr>
          <w:t>Expanding Antibiotic Stewardship</w:t>
        </w:r>
        <w:r>
          <w:rPr>
            <w:rStyle w:val="Hyperlink"/>
            <w:rFonts w:cstheme="minorHAnsi"/>
          </w:rPr>
          <w:t>, May 20</w:t>
        </w:r>
        <w:r w:rsidRPr="00775C13">
          <w:rPr>
            <w:rStyle w:val="Hyperlink"/>
            <w:rFonts w:cstheme="minorHAnsi"/>
          </w:rPr>
          <w:t>15</w:t>
        </w:r>
      </w:hyperlink>
      <w:r w:rsidRPr="00DF4AB3">
        <w:rPr>
          <w:rFonts w:cstheme="minorHAnsi"/>
        </w:rPr>
        <w:t>)</w:t>
      </w:r>
    </w:p>
    <w:p w14:paraId="60A7AD5D" w14:textId="77777777" w:rsidR="00256CFA" w:rsidRDefault="00256CFA" w:rsidP="00D218B4">
      <w:pPr>
        <w:spacing w:before="120"/>
        <w:rPr>
          <w:rFonts w:cstheme="minorHAnsi"/>
        </w:rPr>
      </w:pPr>
    </w:p>
    <w:tbl>
      <w:tblPr>
        <w:tblStyle w:val="TableGrid"/>
        <w:tblW w:w="0" w:type="auto"/>
        <w:tblLook w:val="04A0" w:firstRow="1" w:lastRow="0" w:firstColumn="1" w:lastColumn="0" w:noHBand="0" w:noVBand="1"/>
      </w:tblPr>
      <w:tblGrid>
        <w:gridCol w:w="10214"/>
      </w:tblGrid>
      <w:tr w:rsidR="00D43D12" w:rsidRPr="00DF4AB3" w14:paraId="77508CE5" w14:textId="77777777" w:rsidTr="00DF2F36">
        <w:tc>
          <w:tcPr>
            <w:tcW w:w="10214" w:type="dxa"/>
          </w:tcPr>
          <w:p w14:paraId="48EE416B" w14:textId="77777777" w:rsidR="00D43D12" w:rsidRPr="00DF4AB3" w:rsidRDefault="00D43D12" w:rsidP="0030702F">
            <w:pPr>
              <w:rPr>
                <w:rFonts w:cstheme="minorHAnsi"/>
              </w:rPr>
            </w:pPr>
            <w:bookmarkStart w:id="28" w:name="LessMeat"/>
            <w:bookmarkEnd w:id="28"/>
            <w:r>
              <w:rPr>
                <w:rFonts w:cstheme="minorHAnsi"/>
              </w:rPr>
              <w:lastRenderedPageBreak/>
              <w:t>GOAL AREA 3</w:t>
            </w:r>
            <w:r w:rsidRPr="00DF4AB3">
              <w:rPr>
                <w:rFonts w:cstheme="minorHAnsi"/>
              </w:rPr>
              <w:t xml:space="preserve">: </w:t>
            </w:r>
            <w:r w:rsidRPr="00083964">
              <w:rPr>
                <w:rFonts w:cstheme="minorHAnsi"/>
              </w:rPr>
              <w:t>MEAT REDUCTION</w:t>
            </w:r>
          </w:p>
        </w:tc>
      </w:tr>
      <w:tr w:rsidR="00D43D12" w:rsidRPr="00DF4AB3" w14:paraId="1984FDAE" w14:textId="77777777" w:rsidTr="00DF2F36">
        <w:tc>
          <w:tcPr>
            <w:tcW w:w="10214" w:type="dxa"/>
          </w:tcPr>
          <w:p w14:paraId="683A2407" w14:textId="77777777" w:rsidR="00D43D12" w:rsidRPr="00083964" w:rsidRDefault="00666D8A" w:rsidP="00666D8A">
            <w:pPr>
              <w:rPr>
                <w:rFonts w:cstheme="minorHAnsi"/>
                <w:b/>
              </w:rPr>
            </w:pPr>
            <w:r>
              <w:rPr>
                <w:rFonts w:cstheme="minorHAnsi"/>
                <w:b/>
              </w:rPr>
              <w:t>Decrease t</w:t>
            </w:r>
            <w:r w:rsidR="00D43D12" w:rsidRPr="00083964">
              <w:rPr>
                <w:rFonts w:cstheme="minorHAnsi"/>
                <w:b/>
              </w:rPr>
              <w:t xml:space="preserve">otal meat purchases </w:t>
            </w:r>
            <w:r w:rsidR="00DA516E">
              <w:rPr>
                <w:rFonts w:cstheme="minorHAnsi"/>
                <w:b/>
              </w:rPr>
              <w:t>by 25%.</w:t>
            </w:r>
          </w:p>
        </w:tc>
      </w:tr>
    </w:tbl>
    <w:p w14:paraId="394FB102" w14:textId="77777777" w:rsidR="00F25BE1" w:rsidRDefault="00D43D12" w:rsidP="00D218B4">
      <w:pPr>
        <w:spacing w:before="120"/>
        <w:rPr>
          <w:rFonts w:cstheme="minorHAnsi"/>
        </w:rPr>
      </w:pPr>
      <w:r w:rsidRPr="00DF4AB3">
        <w:rPr>
          <w:rFonts w:cstheme="minorHAnsi"/>
          <w:u w:val="single"/>
        </w:rPr>
        <w:t>Rationale</w:t>
      </w:r>
      <w:r w:rsidRPr="00DF4AB3">
        <w:rPr>
          <w:rFonts w:cstheme="minorHAnsi"/>
        </w:rPr>
        <w:t xml:space="preserve">: Significant costs are associated with industrialized meat and poultry production and distribution, including antibiotic resistance, and air and water contamination. U.S. food production relies heavily on fossil fuels, and red meat production has a particularly large climate footprint. Americans eat more than twice the global average for meat consumption. Reducing the overall amount of meat served in hospitals provides health, social and environmental benefits that are consistent with prevention-based medicine. </w:t>
      </w:r>
      <w:r>
        <w:rPr>
          <w:rFonts w:cstheme="minorHAnsi"/>
        </w:rPr>
        <w:t xml:space="preserve">(Healthier Hospitals Initiative </w:t>
      </w:r>
      <w:r w:rsidRPr="00DF4AB3">
        <w:rPr>
          <w:rFonts w:cstheme="minorHAnsi"/>
        </w:rPr>
        <w:t xml:space="preserve">Healthier Food How-To Guide) </w:t>
      </w:r>
    </w:p>
    <w:p w14:paraId="41467870" w14:textId="77777777" w:rsidR="00AA4C62" w:rsidRDefault="00AA4C62" w:rsidP="00D218B4">
      <w:pPr>
        <w:rPr>
          <w:rFonts w:cstheme="minorHAnsi"/>
        </w:rPr>
      </w:pPr>
    </w:p>
    <w:tbl>
      <w:tblPr>
        <w:tblStyle w:val="TableGrid"/>
        <w:tblW w:w="0" w:type="auto"/>
        <w:tblLook w:val="04A0" w:firstRow="1" w:lastRow="0" w:firstColumn="1" w:lastColumn="0" w:noHBand="0" w:noVBand="1"/>
      </w:tblPr>
      <w:tblGrid>
        <w:gridCol w:w="10214"/>
      </w:tblGrid>
      <w:tr w:rsidR="00AA4C62" w:rsidRPr="00DF4AB3" w14:paraId="2787399E" w14:textId="77777777" w:rsidTr="0030702F">
        <w:tc>
          <w:tcPr>
            <w:tcW w:w="10368" w:type="dxa"/>
          </w:tcPr>
          <w:p w14:paraId="47872AF1" w14:textId="77777777" w:rsidR="00AA4C62" w:rsidRPr="00DF4AB3" w:rsidRDefault="00AA4C62" w:rsidP="0030702F">
            <w:pPr>
              <w:rPr>
                <w:rFonts w:cstheme="minorHAnsi"/>
              </w:rPr>
            </w:pPr>
            <w:r w:rsidRPr="00DF4AB3">
              <w:rPr>
                <w:rFonts w:cstheme="minorHAnsi"/>
              </w:rPr>
              <w:t>GOAL AREA</w:t>
            </w:r>
            <w:r>
              <w:rPr>
                <w:rFonts w:cstheme="minorHAnsi"/>
              </w:rPr>
              <w:t xml:space="preserve"> 4</w:t>
            </w:r>
            <w:r w:rsidRPr="00DF4AB3">
              <w:rPr>
                <w:rFonts w:cstheme="minorHAnsi"/>
                <w:caps/>
              </w:rPr>
              <w:t xml:space="preserve">:  </w:t>
            </w:r>
            <w:r w:rsidRPr="00083964">
              <w:rPr>
                <w:rFonts w:cstheme="minorHAnsi"/>
                <w:caps/>
              </w:rPr>
              <w:t>HEALTHY EATING: COMMUNITY</w:t>
            </w:r>
          </w:p>
        </w:tc>
      </w:tr>
      <w:tr w:rsidR="00AA4C62" w:rsidRPr="00DF4AB3" w14:paraId="44CEAE10" w14:textId="77777777" w:rsidTr="0030702F">
        <w:tc>
          <w:tcPr>
            <w:tcW w:w="10368" w:type="dxa"/>
          </w:tcPr>
          <w:p w14:paraId="09BA229E" w14:textId="13745CE8" w:rsidR="00AA4C62" w:rsidRPr="00083964" w:rsidRDefault="00AA4C62" w:rsidP="0030702F">
            <w:pPr>
              <w:rPr>
                <w:rFonts w:cstheme="minorHAnsi"/>
                <w:b/>
              </w:rPr>
            </w:pPr>
            <w:r w:rsidRPr="00083964">
              <w:rPr>
                <w:rFonts w:cstheme="minorHAnsi"/>
                <w:b/>
              </w:rPr>
              <w:t>Increase availability of sustainable, healthy food</w:t>
            </w:r>
            <w:r w:rsidR="000E1346">
              <w:rPr>
                <w:rFonts w:cstheme="minorHAnsi"/>
                <w:b/>
              </w:rPr>
              <w:t>*</w:t>
            </w:r>
            <w:r w:rsidRPr="00083964">
              <w:rPr>
                <w:rFonts w:cstheme="minorHAnsi"/>
                <w:b/>
              </w:rPr>
              <w:t xml:space="preserve"> to the community through the development and implementation of a minimum of </w:t>
            </w:r>
            <w:r>
              <w:rPr>
                <w:rFonts w:cstheme="minorHAnsi"/>
                <w:b/>
              </w:rPr>
              <w:t>three</w:t>
            </w:r>
            <w:r w:rsidRPr="00083964">
              <w:rPr>
                <w:rFonts w:cstheme="minorHAnsi"/>
                <w:b/>
              </w:rPr>
              <w:t xml:space="preserve"> new programs</w:t>
            </w:r>
            <w:r w:rsidR="00437350">
              <w:rPr>
                <w:rFonts w:cstheme="minorHAnsi"/>
                <w:b/>
              </w:rPr>
              <w:t>.</w:t>
            </w:r>
          </w:p>
        </w:tc>
      </w:tr>
    </w:tbl>
    <w:p w14:paraId="47F86B29" w14:textId="5393C214" w:rsidR="00AA4C62" w:rsidRPr="001F173D" w:rsidRDefault="00AA4C62" w:rsidP="00D218B4">
      <w:pPr>
        <w:spacing w:before="60"/>
        <w:rPr>
          <w:rFonts w:cstheme="minorHAnsi"/>
        </w:rPr>
      </w:pPr>
      <w:r w:rsidRPr="001F173D">
        <w:rPr>
          <w:rFonts w:cstheme="minorHAnsi"/>
        </w:rPr>
        <w:t>*To be defined by D-HH Registered Dietitians</w:t>
      </w:r>
      <w:r w:rsidR="00F548A7">
        <w:rPr>
          <w:rFonts w:cstheme="minorHAnsi"/>
        </w:rPr>
        <w:t>.</w:t>
      </w:r>
      <w:bookmarkStart w:id="29" w:name="_GoBack"/>
      <w:bookmarkEnd w:id="29"/>
    </w:p>
    <w:p w14:paraId="378B8B2E" w14:textId="166A55AD" w:rsidR="002C232E" w:rsidRPr="00160EB9" w:rsidRDefault="00AA4C62" w:rsidP="00D218B4">
      <w:pPr>
        <w:spacing w:before="120"/>
        <w:rPr>
          <w:rFonts w:cstheme="minorHAnsi"/>
        </w:rPr>
      </w:pPr>
      <w:r w:rsidRPr="00DF4AB3">
        <w:rPr>
          <w:rFonts w:cstheme="minorHAnsi"/>
          <w:u w:val="single"/>
        </w:rPr>
        <w:t>Rationale</w:t>
      </w:r>
      <w:r w:rsidRPr="00DF4AB3">
        <w:rPr>
          <w:rFonts w:cstheme="minorHAnsi"/>
        </w:rPr>
        <w:t xml:space="preserve">:  There are </w:t>
      </w:r>
      <w:r>
        <w:rPr>
          <w:rFonts w:cstheme="minorHAnsi"/>
        </w:rPr>
        <w:t>many</w:t>
      </w:r>
      <w:r w:rsidRPr="00DF4AB3">
        <w:rPr>
          <w:rFonts w:cstheme="minorHAnsi"/>
        </w:rPr>
        <w:t xml:space="preserve"> benefits that result from supporting a healthy, sustainable food system—the development of robust regional food systems, improvements in employee health and wellness through increased access to healthy, local food, and reductions in the chronic disease burden. </w:t>
      </w:r>
      <w:r>
        <w:rPr>
          <w:rFonts w:cstheme="minorHAnsi"/>
        </w:rPr>
        <w:t xml:space="preserve"> </w:t>
      </w:r>
      <w:r w:rsidRPr="00DF4AB3">
        <w:rPr>
          <w:rFonts w:cstheme="minorHAnsi"/>
        </w:rPr>
        <w:t>As mission-driven institutions, hospitals across the U.S. are undertaking innovative community and public health strategies and are finding new support through the Affordable Care Act for devising community benefit programs that incorporate environmental and community health factors. (</w:t>
      </w:r>
      <w:hyperlink r:id="rId30" w:history="1">
        <w:r w:rsidRPr="00BF531A">
          <w:rPr>
            <w:rStyle w:val="Hyperlink"/>
            <w:rFonts w:cstheme="minorHAnsi"/>
            <w:i/>
          </w:rPr>
          <w:t>New England Healthy Food in Health Care</w:t>
        </w:r>
        <w:r w:rsidRPr="00BF531A">
          <w:rPr>
            <w:rStyle w:val="Hyperlink"/>
            <w:rFonts w:cstheme="minorHAnsi"/>
          </w:rPr>
          <w:t>, May 2014</w:t>
        </w:r>
      </w:hyperlink>
      <w:r w:rsidRPr="00DF4AB3">
        <w:rPr>
          <w:rFonts w:cstheme="minorHAnsi"/>
        </w:rPr>
        <w:t>)</w:t>
      </w:r>
      <w:r>
        <w:rPr>
          <w:rFonts w:cstheme="minorHAnsi"/>
        </w:rPr>
        <w:t xml:space="preserve"> </w:t>
      </w:r>
    </w:p>
    <w:p w14:paraId="69ECC561" w14:textId="2B5B997F" w:rsidR="0072124A" w:rsidRPr="002A3F81" w:rsidRDefault="0072124A" w:rsidP="00D833B6">
      <w:pPr>
        <w:pStyle w:val="Heading1"/>
        <w:spacing w:before="360"/>
        <w:rPr>
          <w:sz w:val="20"/>
          <w:szCs w:val="20"/>
        </w:rPr>
      </w:pPr>
      <w:bookmarkStart w:id="30" w:name="_Toc440523759"/>
      <w:r w:rsidRPr="00566CF0">
        <w:t>Less Waste</w:t>
      </w:r>
      <w:bookmarkEnd w:id="30"/>
      <w:r w:rsidRPr="00566CF0">
        <w:t xml:space="preserve"> </w:t>
      </w:r>
    </w:p>
    <w:p w14:paraId="3B5D04B6" w14:textId="77777777" w:rsidR="00D27006" w:rsidRDefault="00D27006" w:rsidP="008B51D4">
      <w:r w:rsidRPr="00D27006">
        <w:t>DHMC generated just under 3000 tons of waste in 2014, or 8 tons a day. Solid waste either ends up in landfills, which creates methane, a greenhouse gas six times the potency of carbon dioxide, or in incinerators, which emit more CO</w:t>
      </w:r>
      <w:r w:rsidRPr="00D27006">
        <w:rPr>
          <w:vertAlign w:val="subscript"/>
        </w:rPr>
        <w:t>2</w:t>
      </w:r>
      <w:r w:rsidRPr="00D27006">
        <w:t> per megawatt-hour than coal-fired power plants.</w:t>
      </w:r>
      <w:r>
        <w:t xml:space="preserve"> (</w:t>
      </w:r>
      <w:proofErr w:type="spellStart"/>
      <w:r w:rsidR="00F548A7">
        <w:fldChar w:fldCharType="begin"/>
      </w:r>
      <w:r w:rsidR="00F548A7">
        <w:instrText xml:space="preserve"> HYPERLINK "http://greenhealthmagazine.org/no-time-to-waste/" </w:instrText>
      </w:r>
      <w:r w:rsidR="00F548A7">
        <w:fldChar w:fldCharType="separate"/>
      </w:r>
      <w:r w:rsidRPr="002A3F81">
        <w:rPr>
          <w:rStyle w:val="Hyperlink"/>
        </w:rPr>
        <w:t>Greenhealth</w:t>
      </w:r>
      <w:proofErr w:type="spellEnd"/>
      <w:r w:rsidRPr="002A3F81">
        <w:rPr>
          <w:rStyle w:val="Hyperlink"/>
        </w:rPr>
        <w:t xml:space="preserve"> Magazine, Sep/Oct 2013</w:t>
      </w:r>
      <w:r w:rsidR="00F548A7">
        <w:rPr>
          <w:rStyle w:val="Hyperlink"/>
        </w:rPr>
        <w:fldChar w:fldCharType="end"/>
      </w:r>
      <w:r>
        <w:t>)</w:t>
      </w:r>
    </w:p>
    <w:p w14:paraId="36D82FF9" w14:textId="01B47156" w:rsidR="00DF5EB9" w:rsidRDefault="00DF5EB9" w:rsidP="0072124A">
      <w:pPr>
        <w:rPr>
          <w:u w:val="single"/>
        </w:rPr>
      </w:pPr>
    </w:p>
    <w:p w14:paraId="31FEC84E" w14:textId="65563265" w:rsidR="00E2674A" w:rsidRDefault="00E2674A" w:rsidP="0072124A">
      <w:pPr>
        <w:rPr>
          <w:u w:val="single"/>
        </w:rPr>
      </w:pPr>
      <w:r>
        <w:rPr>
          <w:u w:val="single"/>
        </w:rPr>
        <w:t>Goal Areas</w:t>
      </w:r>
    </w:p>
    <w:p w14:paraId="7FF15428" w14:textId="77777777" w:rsidR="008904BE" w:rsidRDefault="00E2674A" w:rsidP="00E2674A">
      <w:pPr>
        <w:tabs>
          <w:tab w:val="left" w:pos="360"/>
        </w:tabs>
      </w:pPr>
      <w:r w:rsidRPr="00E2674A">
        <w:t>1.</w:t>
      </w:r>
      <w:r w:rsidRPr="00E2674A">
        <w:tab/>
        <w:t>TOTAL WASTE REDUCTION</w:t>
      </w:r>
      <w:r w:rsidRPr="00E2674A">
        <w:cr/>
        <w:t>2.</w:t>
      </w:r>
      <w:r w:rsidRPr="00E2674A">
        <w:tab/>
        <w:t>RECYCLING AND REUSE</w:t>
      </w:r>
    </w:p>
    <w:p w14:paraId="16572D15" w14:textId="68367C23" w:rsidR="00E2674A" w:rsidRPr="00E2674A" w:rsidRDefault="00E2674A" w:rsidP="00E2674A">
      <w:pPr>
        <w:tabs>
          <w:tab w:val="left" w:pos="360"/>
        </w:tabs>
      </w:pPr>
      <w:r w:rsidRPr="00E2674A">
        <w:t>3.</w:t>
      </w:r>
      <w:r w:rsidRPr="00E2674A">
        <w:tab/>
        <w:t>PHARMACEUTICAL WASTE</w:t>
      </w:r>
      <w:r w:rsidRPr="00E2674A">
        <w:cr/>
        <w:t>4.</w:t>
      </w:r>
      <w:r w:rsidRPr="00E2674A">
        <w:tab/>
        <w:t>HAZARDOUS WASTE REDUCTION</w:t>
      </w:r>
      <w:r w:rsidRPr="00E2674A">
        <w:cr/>
      </w:r>
    </w:p>
    <w:tbl>
      <w:tblPr>
        <w:tblStyle w:val="TableGrid"/>
        <w:tblW w:w="10345" w:type="dxa"/>
        <w:tblLook w:val="04A0" w:firstRow="1" w:lastRow="0" w:firstColumn="1" w:lastColumn="0" w:noHBand="0" w:noVBand="1"/>
      </w:tblPr>
      <w:tblGrid>
        <w:gridCol w:w="10345"/>
      </w:tblGrid>
      <w:tr w:rsidR="0072124A" w14:paraId="46350AA4" w14:textId="77777777" w:rsidTr="0030702F">
        <w:trPr>
          <w:trHeight w:val="314"/>
        </w:trPr>
        <w:tc>
          <w:tcPr>
            <w:tcW w:w="10345" w:type="dxa"/>
          </w:tcPr>
          <w:p w14:paraId="296942D1" w14:textId="77777777" w:rsidR="0072124A" w:rsidRPr="001F4139" w:rsidRDefault="0072124A" w:rsidP="0030702F">
            <w:pPr>
              <w:rPr>
                <w:b/>
              </w:rPr>
            </w:pPr>
            <w:bookmarkStart w:id="31" w:name="TotalWaste"/>
            <w:bookmarkEnd w:id="31"/>
            <w:r>
              <w:t xml:space="preserve">GOAL AREA 1: </w:t>
            </w:r>
            <w:r w:rsidRPr="00A43D20">
              <w:t>TOTAL WASTE REDUCTION</w:t>
            </w:r>
          </w:p>
        </w:tc>
      </w:tr>
      <w:tr w:rsidR="0072124A" w14:paraId="441B2B58" w14:textId="77777777" w:rsidTr="0030702F">
        <w:tc>
          <w:tcPr>
            <w:tcW w:w="10345" w:type="dxa"/>
          </w:tcPr>
          <w:p w14:paraId="7BE610B0" w14:textId="77777777" w:rsidR="0072124A" w:rsidRPr="00A43D20" w:rsidRDefault="0072124A" w:rsidP="0030702F">
            <w:pPr>
              <w:rPr>
                <w:b/>
              </w:rPr>
            </w:pPr>
            <w:r w:rsidRPr="00A43D20">
              <w:rPr>
                <w:b/>
              </w:rPr>
              <w:t>Reduce total pounds of waste per square foot by 10%</w:t>
            </w:r>
            <w:r w:rsidR="00DA516E">
              <w:rPr>
                <w:b/>
              </w:rPr>
              <w:t>.</w:t>
            </w:r>
            <w:r w:rsidRPr="00A43D20">
              <w:rPr>
                <w:b/>
              </w:rPr>
              <w:t xml:space="preserve">  </w:t>
            </w:r>
          </w:p>
        </w:tc>
      </w:tr>
    </w:tbl>
    <w:p w14:paraId="6EFC5401" w14:textId="77777777" w:rsidR="00D27006" w:rsidRPr="00D27006" w:rsidRDefault="0072124A" w:rsidP="00D218B4">
      <w:pPr>
        <w:spacing w:before="120"/>
      </w:pPr>
      <w:r w:rsidRPr="00084F2B">
        <w:rPr>
          <w:u w:val="single"/>
        </w:rPr>
        <w:t>Rationale</w:t>
      </w:r>
      <w:r>
        <w:t>:</w:t>
      </w:r>
      <w:r w:rsidRPr="00F92A7D">
        <w:t xml:space="preserve"> </w:t>
      </w:r>
      <w:r w:rsidR="00D27006" w:rsidRPr="00D27006">
        <w:t xml:space="preserve">To reduce the amount of trash going to the landfill, we have looked to recycling, and will continue to put efforts there, but </w:t>
      </w:r>
      <w:r w:rsidR="00D27006" w:rsidRPr="00D27006">
        <w:rPr>
          <w:i/>
          <w:iCs/>
        </w:rPr>
        <w:t>source reduction</w:t>
      </w:r>
      <w:r w:rsidR="00D27006" w:rsidRPr="00D27006">
        <w:t xml:space="preserve"> is at the top of the solid waste management hierarchy because it is superior to reuse, recycling, and composting for achieving environmental and economic benefits. By using fewer products, or choosing products with less material and packaging, we prevent the upstream impacts associated with raw materials extraction and refining, product manufacturing, and transportation.</w:t>
      </w:r>
    </w:p>
    <w:p w14:paraId="612FA937" w14:textId="1BB2A3FA" w:rsidR="00DF2F36" w:rsidRDefault="00DF2F36" w:rsidP="0072124A"/>
    <w:tbl>
      <w:tblPr>
        <w:tblStyle w:val="TableGrid"/>
        <w:tblW w:w="10345" w:type="dxa"/>
        <w:tblLook w:val="04A0" w:firstRow="1" w:lastRow="0" w:firstColumn="1" w:lastColumn="0" w:noHBand="0" w:noVBand="1"/>
      </w:tblPr>
      <w:tblGrid>
        <w:gridCol w:w="10345"/>
      </w:tblGrid>
      <w:tr w:rsidR="0072124A" w14:paraId="2B6CF390" w14:textId="77777777" w:rsidTr="0030702F">
        <w:tc>
          <w:tcPr>
            <w:tcW w:w="10345" w:type="dxa"/>
          </w:tcPr>
          <w:p w14:paraId="7C7B90BF" w14:textId="77777777" w:rsidR="0072124A" w:rsidRDefault="0072124A" w:rsidP="0030702F">
            <w:bookmarkStart w:id="32" w:name="ReuseRecycling"/>
            <w:bookmarkEnd w:id="32"/>
            <w:r>
              <w:lastRenderedPageBreak/>
              <w:t xml:space="preserve">GOAL AREA 2: </w:t>
            </w:r>
            <w:r w:rsidRPr="00A43D20">
              <w:t>RECYCLING AND REUSE</w:t>
            </w:r>
          </w:p>
        </w:tc>
      </w:tr>
      <w:tr w:rsidR="0072124A" w14:paraId="647C11A3" w14:textId="77777777" w:rsidTr="0030702F">
        <w:tc>
          <w:tcPr>
            <w:tcW w:w="10345" w:type="dxa"/>
          </w:tcPr>
          <w:p w14:paraId="0DC89EAD" w14:textId="7943F9D9" w:rsidR="0072124A" w:rsidRPr="00A43D20" w:rsidRDefault="0072124A" w:rsidP="00D27006">
            <w:pPr>
              <w:rPr>
                <w:b/>
              </w:rPr>
            </w:pPr>
            <w:r w:rsidRPr="00A43D20">
              <w:rPr>
                <w:b/>
              </w:rPr>
              <w:t xml:space="preserve">Achieve </w:t>
            </w:r>
            <w:r w:rsidR="00D27006">
              <w:rPr>
                <w:b/>
              </w:rPr>
              <w:t>a 4</w:t>
            </w:r>
            <w:r w:rsidRPr="00A43D20">
              <w:rPr>
                <w:b/>
              </w:rPr>
              <w:t>0% recycling and reuse* rate</w:t>
            </w:r>
            <w:r w:rsidR="00437350">
              <w:rPr>
                <w:b/>
              </w:rPr>
              <w:t>.</w:t>
            </w:r>
          </w:p>
        </w:tc>
      </w:tr>
    </w:tbl>
    <w:p w14:paraId="06BD7C4D" w14:textId="2B647E1C" w:rsidR="0072124A" w:rsidRPr="00113D12" w:rsidRDefault="00113D12" w:rsidP="00D218B4">
      <w:pPr>
        <w:spacing w:before="60"/>
      </w:pPr>
      <w:r w:rsidRPr="00113D12">
        <w:t>*D</w:t>
      </w:r>
      <w:r w:rsidR="0072124A" w:rsidRPr="00113D12">
        <w:t>efined as materials that are sent to external organizations for reuse</w:t>
      </w:r>
      <w:r w:rsidRPr="00113D12">
        <w:t>.</w:t>
      </w:r>
    </w:p>
    <w:p w14:paraId="3DF681D7" w14:textId="77777777" w:rsidR="0072124A" w:rsidRDefault="0072124A" w:rsidP="00D218B4">
      <w:pPr>
        <w:spacing w:before="120"/>
      </w:pPr>
      <w:r>
        <w:rPr>
          <w:u w:val="single"/>
        </w:rPr>
        <w:t>Rationale</w:t>
      </w:r>
      <w:r>
        <w:t xml:space="preserve">:  </w:t>
      </w:r>
      <w:r w:rsidRPr="00A404F9">
        <w:t xml:space="preserve">Hospitals continue to glean new opportunities for recycling despite decreasing margins on smaller volume materials. </w:t>
      </w:r>
      <w:r>
        <w:rPr>
          <w:bCs/>
        </w:rPr>
        <w:t>Recycling</w:t>
      </w:r>
      <w:r>
        <w:t xml:space="preserve"> r</w:t>
      </w:r>
      <w:r w:rsidRPr="00A404F9">
        <w:t>educes the amount of waste sent to landfills and incinerators</w:t>
      </w:r>
      <w:r>
        <w:t>, which in turn decreases GHG emissions (</w:t>
      </w:r>
      <w:r w:rsidRPr="00A404F9">
        <w:t>landfills account for 37% of methane gas output)</w:t>
      </w:r>
      <w:r>
        <w:t xml:space="preserve"> and water pollutants. Recycling also helps to conserve</w:t>
      </w:r>
      <w:r w:rsidRPr="00A404F9">
        <w:t xml:space="preserve"> natural resources such</w:t>
      </w:r>
      <w:r>
        <w:t xml:space="preserve"> as timber, water, and minerals, and saves energy (EPA website).</w:t>
      </w:r>
    </w:p>
    <w:p w14:paraId="34DFE62E" w14:textId="77777777" w:rsidR="0072124A" w:rsidRDefault="0072124A" w:rsidP="0072124A">
      <w:bookmarkStart w:id="33" w:name="RMWReduction"/>
      <w:bookmarkEnd w:id="33"/>
    </w:p>
    <w:tbl>
      <w:tblPr>
        <w:tblStyle w:val="TableGrid"/>
        <w:tblW w:w="10345" w:type="dxa"/>
        <w:tblLook w:val="04A0" w:firstRow="1" w:lastRow="0" w:firstColumn="1" w:lastColumn="0" w:noHBand="0" w:noVBand="1"/>
      </w:tblPr>
      <w:tblGrid>
        <w:gridCol w:w="10345"/>
      </w:tblGrid>
      <w:tr w:rsidR="0072124A" w14:paraId="476F6DAD" w14:textId="77777777" w:rsidTr="0030702F">
        <w:tc>
          <w:tcPr>
            <w:tcW w:w="10345" w:type="dxa"/>
          </w:tcPr>
          <w:p w14:paraId="0C8E3AB8" w14:textId="77777777" w:rsidR="0072124A" w:rsidRDefault="0072124A" w:rsidP="0030702F">
            <w:bookmarkStart w:id="34" w:name="PharmaWaste"/>
            <w:bookmarkEnd w:id="34"/>
            <w:r>
              <w:t xml:space="preserve">GOAL AREA 3: </w:t>
            </w:r>
            <w:r w:rsidRPr="00A43D20">
              <w:t>PHARMACEUTICAL WASTE</w:t>
            </w:r>
          </w:p>
        </w:tc>
      </w:tr>
      <w:tr w:rsidR="0072124A" w14:paraId="64075218" w14:textId="77777777" w:rsidTr="0030702F">
        <w:tc>
          <w:tcPr>
            <w:tcW w:w="10345" w:type="dxa"/>
          </w:tcPr>
          <w:p w14:paraId="18CF4E9B" w14:textId="77777777" w:rsidR="0072124A" w:rsidRPr="00A43D20" w:rsidRDefault="0072124A" w:rsidP="0030702F">
            <w:pPr>
              <w:pStyle w:val="NormalWeb"/>
              <w:spacing w:before="0" w:beforeAutospacing="0" w:after="0" w:afterAutospacing="0" w:line="276" w:lineRule="auto"/>
              <w:rPr>
                <w:rFonts w:ascii="Arial" w:hAnsi="Arial" w:cs="Arial"/>
                <w:b/>
                <w:sz w:val="22"/>
                <w:szCs w:val="22"/>
              </w:rPr>
            </w:pPr>
            <w:r w:rsidRPr="00A43D20">
              <w:rPr>
                <w:rFonts w:ascii="Calibri" w:eastAsia="Calibri" w:hAnsi="Calibri"/>
                <w:b/>
                <w:kern w:val="24"/>
                <w:sz w:val="22"/>
                <w:szCs w:val="22"/>
              </w:rPr>
              <w:t>Roll out DHMC pharmaceutical management best practices to Community Group Practices</w:t>
            </w:r>
            <w:r w:rsidR="004D64E5">
              <w:rPr>
                <w:rFonts w:ascii="Calibri" w:eastAsia="Calibri" w:hAnsi="Calibri"/>
                <w:b/>
                <w:kern w:val="24"/>
                <w:sz w:val="22"/>
                <w:szCs w:val="22"/>
              </w:rPr>
              <w:t>.</w:t>
            </w:r>
          </w:p>
        </w:tc>
      </w:tr>
      <w:tr w:rsidR="0072124A" w14:paraId="03142BD0" w14:textId="77777777" w:rsidTr="0030702F">
        <w:tc>
          <w:tcPr>
            <w:tcW w:w="10345" w:type="dxa"/>
          </w:tcPr>
          <w:p w14:paraId="07E54EFE" w14:textId="00B37AF5" w:rsidR="0072124A" w:rsidRPr="00A43D20" w:rsidRDefault="004D64E5" w:rsidP="00D218B4">
            <w:pPr>
              <w:pStyle w:val="NormalWeb"/>
              <w:spacing w:before="0" w:beforeAutospacing="0" w:after="0" w:afterAutospacing="0"/>
              <w:rPr>
                <w:rFonts w:ascii="Arial" w:hAnsi="Arial" w:cs="Arial"/>
                <w:b/>
                <w:sz w:val="22"/>
                <w:szCs w:val="22"/>
              </w:rPr>
            </w:pPr>
            <w:r w:rsidRPr="004D64E5">
              <w:rPr>
                <w:rFonts w:ascii="Calibri" w:eastAsia="Calibri" w:hAnsi="Calibri"/>
                <w:b/>
                <w:kern w:val="24"/>
                <w:sz w:val="22"/>
                <w:szCs w:val="22"/>
              </w:rPr>
              <w:t xml:space="preserve">Decrease risk of improper disposal of pharmaceutical waste in the community </w:t>
            </w:r>
            <w:r w:rsidR="009F5BB5">
              <w:rPr>
                <w:rFonts w:ascii="Calibri" w:eastAsia="Calibri" w:hAnsi="Calibri"/>
                <w:b/>
                <w:kern w:val="24"/>
                <w:sz w:val="22"/>
                <w:szCs w:val="22"/>
              </w:rPr>
              <w:t>by implementing</w:t>
            </w:r>
            <w:r w:rsidRPr="004D64E5">
              <w:rPr>
                <w:rFonts w:ascii="Calibri" w:eastAsia="Calibri" w:hAnsi="Calibri"/>
                <w:b/>
                <w:kern w:val="24"/>
                <w:sz w:val="22"/>
                <w:szCs w:val="22"/>
              </w:rPr>
              <w:t xml:space="preserve"> a patient take-back program for hazardous drugs</w:t>
            </w:r>
            <w:r>
              <w:rPr>
                <w:rFonts w:ascii="Calibri" w:eastAsia="Calibri" w:hAnsi="Calibri"/>
                <w:b/>
                <w:kern w:val="24"/>
                <w:sz w:val="22"/>
                <w:szCs w:val="22"/>
              </w:rPr>
              <w:t>.</w:t>
            </w:r>
          </w:p>
        </w:tc>
      </w:tr>
      <w:tr w:rsidR="0072124A" w14:paraId="5E293446" w14:textId="77777777" w:rsidTr="0030702F">
        <w:tc>
          <w:tcPr>
            <w:tcW w:w="10345" w:type="dxa"/>
          </w:tcPr>
          <w:p w14:paraId="37E16D41" w14:textId="77777777" w:rsidR="0072124A" w:rsidRPr="00A43D20" w:rsidRDefault="0072124A" w:rsidP="002C7C19">
            <w:pPr>
              <w:pStyle w:val="NormalWeb"/>
              <w:rPr>
                <w:rFonts w:ascii="Calibri" w:eastAsia="Calibri" w:hAnsi="Calibri"/>
                <w:b/>
                <w:kern w:val="24"/>
              </w:rPr>
            </w:pPr>
            <w:r w:rsidRPr="00686FFA">
              <w:rPr>
                <w:rFonts w:ascii="Calibri" w:eastAsia="Calibri" w:hAnsi="Calibri"/>
                <w:b/>
                <w:kern w:val="24"/>
                <w:sz w:val="22"/>
              </w:rPr>
              <w:t xml:space="preserve">Reduce </w:t>
            </w:r>
            <w:r w:rsidR="002C7C19" w:rsidRPr="00686FFA">
              <w:rPr>
                <w:rFonts w:ascii="Calibri" w:eastAsia="Calibri" w:hAnsi="Calibri"/>
                <w:b/>
                <w:kern w:val="24"/>
                <w:sz w:val="22"/>
              </w:rPr>
              <w:t>halogenated</w:t>
            </w:r>
            <w:r w:rsidRPr="00686FFA">
              <w:rPr>
                <w:rFonts w:ascii="Calibri" w:eastAsia="Calibri" w:hAnsi="Calibri"/>
                <w:b/>
                <w:kern w:val="24"/>
                <w:sz w:val="22"/>
              </w:rPr>
              <w:t xml:space="preserve"> anesthetic greenhouse gas emissions by 75%</w:t>
            </w:r>
            <w:r w:rsidR="004D64E5" w:rsidRPr="00686FFA">
              <w:rPr>
                <w:rFonts w:ascii="Calibri" w:eastAsia="Calibri" w:hAnsi="Calibri"/>
                <w:b/>
                <w:kern w:val="24"/>
                <w:sz w:val="22"/>
              </w:rPr>
              <w:t>.</w:t>
            </w:r>
          </w:p>
        </w:tc>
      </w:tr>
    </w:tbl>
    <w:p w14:paraId="626D097C" w14:textId="0C11B46A" w:rsidR="0090137D" w:rsidRDefault="0072124A" w:rsidP="00113D12">
      <w:pPr>
        <w:pStyle w:val="NormalWeb"/>
        <w:spacing w:before="120" w:beforeAutospacing="0" w:after="0" w:afterAutospacing="0" w:line="276" w:lineRule="auto"/>
        <w:textAlignment w:val="baseline"/>
        <w:rPr>
          <w:rFonts w:asciiTheme="minorHAnsi" w:eastAsiaTheme="minorHAnsi" w:hAnsiTheme="minorHAnsi" w:cstheme="minorBidi"/>
          <w:sz w:val="22"/>
          <w:szCs w:val="22"/>
        </w:rPr>
      </w:pPr>
      <w:r w:rsidRPr="009977C9">
        <w:rPr>
          <w:rFonts w:asciiTheme="minorHAnsi" w:eastAsiaTheme="minorHAnsi" w:hAnsiTheme="minorHAnsi" w:cstheme="minorBidi"/>
          <w:sz w:val="22"/>
          <w:szCs w:val="22"/>
          <w:u w:val="single"/>
        </w:rPr>
        <w:t>Rationale</w:t>
      </w:r>
      <w:r>
        <w:rPr>
          <w:rFonts w:asciiTheme="minorHAnsi" w:eastAsiaTheme="minorHAnsi" w:hAnsiTheme="minorHAnsi" w:cstheme="minorBidi"/>
          <w:sz w:val="22"/>
          <w:szCs w:val="22"/>
        </w:rPr>
        <w:t xml:space="preserve">: </w:t>
      </w:r>
      <w:r w:rsidRPr="000E50A3">
        <w:rPr>
          <w:rFonts w:asciiTheme="minorHAnsi" w:eastAsiaTheme="minorHAnsi" w:hAnsiTheme="minorHAnsi" w:cstheme="minorBidi"/>
          <w:sz w:val="22"/>
          <w:szCs w:val="22"/>
        </w:rPr>
        <w:t>Hazardous waste regulations in the United States were not designed with health care in mind—and many of the requirements are challenging in a health care setting where the hazardous waste can be a single pill not given to a patient. The federal regulations also overlook a number of pharmaceuticals that are now showing up in our waterways—through flushing, drain disposal and human excret</w:t>
      </w:r>
      <w:r>
        <w:rPr>
          <w:rFonts w:asciiTheme="minorHAnsi" w:eastAsiaTheme="minorHAnsi" w:hAnsiTheme="minorHAnsi" w:cstheme="minorBidi"/>
          <w:sz w:val="22"/>
          <w:szCs w:val="22"/>
        </w:rPr>
        <w:t>ion. Recognizing this loophole, many</w:t>
      </w:r>
      <w:r w:rsidRPr="000E50A3">
        <w:rPr>
          <w:rFonts w:asciiTheme="minorHAnsi" w:eastAsiaTheme="minorHAnsi" w:hAnsiTheme="minorHAnsi" w:cstheme="minorBidi"/>
          <w:sz w:val="22"/>
          <w:szCs w:val="22"/>
        </w:rPr>
        <w:t xml:space="preserve"> hospi</w:t>
      </w:r>
      <w:r w:rsidRPr="000E50A3">
        <w:rPr>
          <w:rFonts w:asciiTheme="minorHAnsi" w:eastAsiaTheme="minorHAnsi" w:hAnsiTheme="minorHAnsi" w:cstheme="minorBidi"/>
          <w:sz w:val="22"/>
          <w:szCs w:val="22"/>
        </w:rPr>
        <w:softHyphen/>
        <w:t xml:space="preserve">tals go beyond compliance and either incinerate a certain portion of pharmaceuticals as </w:t>
      </w:r>
      <w:r>
        <w:rPr>
          <w:rFonts w:asciiTheme="minorHAnsi" w:eastAsiaTheme="minorHAnsi" w:hAnsiTheme="minorHAnsi" w:cstheme="minorBidi"/>
          <w:sz w:val="22"/>
          <w:szCs w:val="22"/>
        </w:rPr>
        <w:t>regulated medical waste</w:t>
      </w:r>
      <w:r w:rsidRPr="000E50A3">
        <w:rPr>
          <w:rFonts w:asciiTheme="minorHAnsi" w:eastAsiaTheme="minorHAnsi" w:hAnsiTheme="minorHAnsi" w:cstheme="minorBidi"/>
          <w:sz w:val="22"/>
          <w:szCs w:val="22"/>
        </w:rPr>
        <w:t>, or handle more of their formulary as hazardous than the law req</w:t>
      </w:r>
      <w:r w:rsidR="0090137D">
        <w:rPr>
          <w:rFonts w:asciiTheme="minorHAnsi" w:eastAsiaTheme="minorHAnsi" w:hAnsiTheme="minorHAnsi" w:cstheme="minorBidi"/>
          <w:sz w:val="22"/>
          <w:szCs w:val="22"/>
        </w:rPr>
        <w:t xml:space="preserve">uires. (PGH 2014 </w:t>
      </w:r>
      <w:r w:rsidRPr="000E50A3">
        <w:rPr>
          <w:rFonts w:asciiTheme="minorHAnsi" w:eastAsiaTheme="minorHAnsi" w:hAnsiTheme="minorHAnsi" w:cstheme="minorBidi"/>
          <w:sz w:val="22"/>
          <w:szCs w:val="22"/>
        </w:rPr>
        <w:t>Benchmark Report</w:t>
      </w:r>
      <w:r>
        <w:rPr>
          <w:rFonts w:asciiTheme="minorHAnsi" w:eastAsiaTheme="minorHAnsi" w:hAnsiTheme="minorHAnsi" w:cstheme="minorBidi"/>
          <w:sz w:val="22"/>
          <w:szCs w:val="22"/>
        </w:rPr>
        <w:t>)</w:t>
      </w:r>
    </w:p>
    <w:p w14:paraId="7AFDFACA" w14:textId="77777777" w:rsidR="0090137D" w:rsidRDefault="0090137D" w:rsidP="0090137D">
      <w:pPr>
        <w:pStyle w:val="NormalWeb"/>
        <w:spacing w:before="120" w:beforeAutospacing="0" w:after="0" w:afterAutospacing="0" w:line="120" w:lineRule="auto"/>
        <w:textAlignment w:val="baseline"/>
        <w:rPr>
          <w:rFonts w:asciiTheme="minorHAnsi" w:eastAsiaTheme="minorHAnsi" w:hAnsiTheme="minorHAnsi" w:cstheme="minorBidi"/>
          <w:sz w:val="22"/>
          <w:szCs w:val="22"/>
        </w:rPr>
      </w:pPr>
    </w:p>
    <w:p w14:paraId="12F6CCAD" w14:textId="77777777" w:rsidR="0072124A" w:rsidRDefault="0072124A" w:rsidP="0072124A">
      <w:r w:rsidRPr="00503D49">
        <w:t>Anesthetic gases</w:t>
      </w:r>
      <w:r>
        <w:t xml:space="preserve">: Most of the organic anesthetic gases remain in the atmosphere </w:t>
      </w:r>
      <w:r w:rsidRPr="00C361F5">
        <w:t>for a long time</w:t>
      </w:r>
      <w:r>
        <w:t xml:space="preserve">, where they have the potential to act as greenhouse gases. Published atmospheric lifetimes range between 1.4 and 21.4 years for </w:t>
      </w:r>
      <w:proofErr w:type="spellStart"/>
      <w:r>
        <w:t>sevoflurane</w:t>
      </w:r>
      <w:proofErr w:type="spellEnd"/>
      <w:r>
        <w:t xml:space="preserve"> and </w:t>
      </w:r>
      <w:proofErr w:type="spellStart"/>
      <w:r>
        <w:t>desflurane</w:t>
      </w:r>
      <w:proofErr w:type="spellEnd"/>
      <w:r>
        <w:t>, respectively.</w:t>
      </w:r>
      <w:r>
        <w:rPr>
          <w:vertAlign w:val="superscript"/>
        </w:rPr>
        <w:t xml:space="preserve"> </w:t>
      </w:r>
      <w:r>
        <w:t xml:space="preserve"> Worldwide yearly sales of inhaled anesthetics total in the millions of liters, the equivalent of approximately 100 to 1200 passenger car emissions/year/midsized hospital, depending on which inhaled anesthetics are used. (</w:t>
      </w:r>
      <w:proofErr w:type="spellStart"/>
      <w:r w:rsidR="00F548A7">
        <w:fldChar w:fldCharType="begin"/>
      </w:r>
      <w:r w:rsidR="00F548A7">
        <w:instrText xml:space="preserve"> HYPERLINK "http://www.ncbi.nlm.nih.gov/pmc/articles/PMC3522493/" </w:instrText>
      </w:r>
      <w:r w:rsidR="00F548A7">
        <w:fldChar w:fldCharType="separate"/>
      </w:r>
      <w:r w:rsidRPr="00C361F5">
        <w:rPr>
          <w:rStyle w:val="Hyperlink"/>
        </w:rPr>
        <w:t>Yasny</w:t>
      </w:r>
      <w:proofErr w:type="spellEnd"/>
      <w:r w:rsidRPr="00C361F5">
        <w:rPr>
          <w:rStyle w:val="Hyperlink"/>
        </w:rPr>
        <w:t xml:space="preserve"> and White, </w:t>
      </w:r>
      <w:r w:rsidRPr="00C361F5">
        <w:rPr>
          <w:rStyle w:val="Hyperlink"/>
          <w:i/>
        </w:rPr>
        <w:t>Environmental Implications of Anesthetic Gases</w:t>
      </w:r>
      <w:r w:rsidRPr="00C361F5">
        <w:rPr>
          <w:rStyle w:val="Hyperlink"/>
        </w:rPr>
        <w:t>, 2012</w:t>
      </w:r>
      <w:r w:rsidR="00F548A7">
        <w:rPr>
          <w:rStyle w:val="Hyperlink"/>
        </w:rPr>
        <w:fldChar w:fldCharType="end"/>
      </w:r>
      <w:r>
        <w:t>)</w:t>
      </w:r>
    </w:p>
    <w:p w14:paraId="2116C4B8" w14:textId="77777777" w:rsidR="0072124A" w:rsidRDefault="0072124A" w:rsidP="0072124A">
      <w:pPr>
        <w:spacing w:line="360" w:lineRule="auto"/>
      </w:pPr>
    </w:p>
    <w:tbl>
      <w:tblPr>
        <w:tblStyle w:val="TableGrid"/>
        <w:tblW w:w="10345" w:type="dxa"/>
        <w:tblLook w:val="04A0" w:firstRow="1" w:lastRow="0" w:firstColumn="1" w:lastColumn="0" w:noHBand="0" w:noVBand="1"/>
      </w:tblPr>
      <w:tblGrid>
        <w:gridCol w:w="10345"/>
      </w:tblGrid>
      <w:tr w:rsidR="0072124A" w14:paraId="797304CB" w14:textId="77777777" w:rsidTr="0030702F">
        <w:tc>
          <w:tcPr>
            <w:tcW w:w="10345" w:type="dxa"/>
          </w:tcPr>
          <w:p w14:paraId="01857F58" w14:textId="77777777" w:rsidR="0072124A" w:rsidRDefault="0072124A" w:rsidP="0030702F">
            <w:bookmarkStart w:id="35" w:name="HazWaste"/>
            <w:bookmarkEnd w:id="35"/>
            <w:r>
              <w:t>GOAL AREA 4</w:t>
            </w:r>
            <w:r w:rsidRPr="00375D95">
              <w:rPr>
                <w:caps/>
              </w:rPr>
              <w:t xml:space="preserve">:  </w:t>
            </w:r>
            <w:r w:rsidRPr="00A43D20">
              <w:t>HAZARDOUS WASTE REDUCTION</w:t>
            </w:r>
          </w:p>
        </w:tc>
      </w:tr>
      <w:tr w:rsidR="0072124A" w14:paraId="2BE7B854" w14:textId="77777777" w:rsidTr="0030702F">
        <w:tc>
          <w:tcPr>
            <w:tcW w:w="10345" w:type="dxa"/>
          </w:tcPr>
          <w:p w14:paraId="4C8BD7EF" w14:textId="3FD4EFC5" w:rsidR="0072124A" w:rsidRPr="00A43D20" w:rsidRDefault="0072124A" w:rsidP="0030702F">
            <w:pPr>
              <w:rPr>
                <w:b/>
              </w:rPr>
            </w:pPr>
            <w:r w:rsidRPr="00A43D20">
              <w:rPr>
                <w:b/>
              </w:rPr>
              <w:t>Evaluate five hazardous waste streams from the clinical labs for hazardous waste minimization opportunities</w:t>
            </w:r>
            <w:r w:rsidR="00437350">
              <w:rPr>
                <w:b/>
              </w:rPr>
              <w:t>.</w:t>
            </w:r>
          </w:p>
        </w:tc>
      </w:tr>
    </w:tbl>
    <w:p w14:paraId="0EE6906F" w14:textId="50642C6B" w:rsidR="00DF2F36" w:rsidRDefault="0072124A" w:rsidP="00493C08">
      <w:pPr>
        <w:spacing w:before="120"/>
      </w:pPr>
      <w:r>
        <w:rPr>
          <w:u w:val="single"/>
        </w:rPr>
        <w:t>Rationale</w:t>
      </w:r>
      <w:r>
        <w:t xml:space="preserve">: </w:t>
      </w:r>
      <w:r w:rsidR="00DF5EB9">
        <w:t>Healthcare and research laboratories use numerous hazardous materials, including chemicals and biological agents that present potential harmful effects to workers, patients, the public and the environment. In addition to the potential risks to human health and the environment, chemicals classified as hazardous waste require special handling and disposal, a process that is both expensive and resource intensive. Hazardous waste streams can be minimized through product substitution, process modification, equipment</w:t>
      </w:r>
      <w:r w:rsidR="00DF5EB9">
        <w:rPr>
          <w:lang w:val="en"/>
        </w:rPr>
        <w:t xml:space="preserve"> or technology changes, chemical reclamation or recycling, and inventory management. </w:t>
      </w:r>
    </w:p>
    <w:p w14:paraId="5C2F23E7" w14:textId="7FDC6FE6" w:rsidR="00F17FCE" w:rsidRDefault="00F17FCE" w:rsidP="00DF5EB9">
      <w:pPr>
        <w:pStyle w:val="Heading1"/>
      </w:pPr>
      <w:bookmarkStart w:id="36" w:name="_Toc440523760"/>
      <w:r>
        <w:t>Greener Culture</w:t>
      </w:r>
      <w:bookmarkEnd w:id="36"/>
    </w:p>
    <w:p w14:paraId="0F0B7E7D" w14:textId="77777777" w:rsidR="008B51D4" w:rsidRPr="00C71A5D" w:rsidRDefault="008B51D4" w:rsidP="008B51D4">
      <w:r w:rsidRPr="00C71A5D">
        <w:t xml:space="preserve">Organizations that achieve long-term, measurable results have the active support of their medical, management, and board leadership, and have built environmental stewardship into the infrastructure of their systems. (Healthier Hospitals Initiative </w:t>
      </w:r>
      <w:r w:rsidRPr="00C71A5D">
        <w:rPr>
          <w:i/>
          <w:iCs/>
        </w:rPr>
        <w:t>How-To Guide on Engaged Leadership</w:t>
      </w:r>
      <w:r w:rsidRPr="00C71A5D">
        <w:t>)</w:t>
      </w:r>
    </w:p>
    <w:p w14:paraId="1C6C8FED" w14:textId="3E91BCB6" w:rsidR="00493C08" w:rsidRDefault="00493C08" w:rsidP="008B51D4">
      <w:pPr>
        <w:rPr>
          <w:u w:val="single"/>
        </w:rPr>
      </w:pPr>
    </w:p>
    <w:p w14:paraId="60A402C7" w14:textId="499962B5" w:rsidR="008B51D4" w:rsidRPr="008B51D4" w:rsidRDefault="008B51D4" w:rsidP="008B51D4">
      <w:pPr>
        <w:rPr>
          <w:u w:val="single"/>
        </w:rPr>
      </w:pPr>
      <w:r w:rsidRPr="008B51D4">
        <w:rPr>
          <w:u w:val="single"/>
        </w:rPr>
        <w:t>Goal Areas</w:t>
      </w:r>
    </w:p>
    <w:p w14:paraId="178134AE" w14:textId="77777777" w:rsidR="00F17FCE" w:rsidRDefault="00AB1D15" w:rsidP="008B51D4">
      <w:pPr>
        <w:tabs>
          <w:tab w:val="left" w:pos="360"/>
        </w:tabs>
        <w:spacing w:after="240"/>
      </w:pPr>
      <w:r>
        <w:t>1.</w:t>
      </w:r>
      <w:r>
        <w:tab/>
        <w:t>SUPPLEMENTAL FUNDING MECHANISMS</w:t>
      </w:r>
      <w:r>
        <w:cr/>
        <w:t>2.</w:t>
      </w:r>
      <w:r>
        <w:tab/>
        <w:t>EMPLOYEE KNOWLEDGE AND PARTICIPATION</w:t>
      </w:r>
      <w:r>
        <w:cr/>
        <w:t>3.</w:t>
      </w:r>
      <w:r>
        <w:tab/>
        <w:t>LEADERSHIP IN SUSTAINABILITY</w:t>
      </w:r>
      <w:r>
        <w:cr/>
        <w:t>4.</w:t>
      </w:r>
      <w:r>
        <w:tab/>
        <w:t>PROGRAM EXPANSION</w:t>
      </w:r>
    </w:p>
    <w:tbl>
      <w:tblPr>
        <w:tblStyle w:val="TableGrid1"/>
        <w:tblW w:w="0" w:type="auto"/>
        <w:tblLook w:val="04A0" w:firstRow="1" w:lastRow="0" w:firstColumn="1" w:lastColumn="0" w:noHBand="0" w:noVBand="1"/>
      </w:tblPr>
      <w:tblGrid>
        <w:gridCol w:w="10214"/>
      </w:tblGrid>
      <w:tr w:rsidR="00F17FCE" w:rsidRPr="00C71A5D" w14:paraId="5EAD7568" w14:textId="77777777" w:rsidTr="00570537">
        <w:tc>
          <w:tcPr>
            <w:tcW w:w="10214" w:type="dxa"/>
          </w:tcPr>
          <w:p w14:paraId="5E402A8E" w14:textId="77777777" w:rsidR="00F17FCE" w:rsidRPr="00C71A5D" w:rsidRDefault="00AB1D15" w:rsidP="0030702F">
            <w:pPr>
              <w:rPr>
                <w:b/>
              </w:rPr>
            </w:pPr>
            <w:bookmarkStart w:id="37" w:name="GreenFund"/>
            <w:bookmarkEnd w:id="37"/>
            <w:r>
              <w:t>GOAL AREA 1</w:t>
            </w:r>
            <w:r w:rsidR="00F17FCE" w:rsidRPr="00C71A5D">
              <w:t>: SUPPLEMENTAL FUNDING MECHANISMS</w:t>
            </w:r>
          </w:p>
        </w:tc>
      </w:tr>
      <w:tr w:rsidR="00F17FCE" w:rsidRPr="00C71A5D" w14:paraId="5FB55C37" w14:textId="77777777" w:rsidTr="00570537">
        <w:tc>
          <w:tcPr>
            <w:tcW w:w="10214" w:type="dxa"/>
          </w:tcPr>
          <w:p w14:paraId="3F7DFF3B" w14:textId="6D7A56C1" w:rsidR="00F17FCE" w:rsidRPr="00E440DC" w:rsidRDefault="00570537" w:rsidP="00570537">
            <w:pPr>
              <w:rPr>
                <w:b/>
                <w:highlight w:val="yellow"/>
              </w:rPr>
            </w:pPr>
            <w:r w:rsidRPr="00570537">
              <w:rPr>
                <w:b/>
              </w:rPr>
              <w:t>Create supplemental funding mechanisms for environmental sustainability initiatives by establishing a Green Revolving Fund and a donor fund.</w:t>
            </w:r>
          </w:p>
        </w:tc>
      </w:tr>
    </w:tbl>
    <w:p w14:paraId="329F72F6" w14:textId="77777777" w:rsidR="00E440DC" w:rsidRDefault="00F17FCE" w:rsidP="00173B1F">
      <w:pPr>
        <w:spacing w:before="120"/>
      </w:pPr>
      <w:r w:rsidRPr="00C71A5D">
        <w:rPr>
          <w:u w:val="single"/>
        </w:rPr>
        <w:t>Rationale</w:t>
      </w:r>
      <w:r w:rsidR="00E440DC">
        <w:t>:</w:t>
      </w:r>
      <w:r w:rsidR="00E440DC" w:rsidRPr="00E440DC">
        <w:t xml:space="preserve"> Creating an earmarked funding source for environmental sustainability initiatives will provide D-HH with the environmental, health, employee, community and financial benefits associated with sustainability work. </w:t>
      </w:r>
    </w:p>
    <w:p w14:paraId="2A0A15F8" w14:textId="77777777" w:rsidR="00E440DC" w:rsidRPr="00E440DC" w:rsidRDefault="00E440DC" w:rsidP="00E440DC"/>
    <w:p w14:paraId="5FF99353" w14:textId="77777777" w:rsidR="00F17FCE" w:rsidRPr="00C71A5D" w:rsidRDefault="00F17FCE" w:rsidP="00F17FCE">
      <w:r w:rsidRPr="00C71A5D">
        <w:t>A Green Revolving Fund (GRF) is an internal investment vehicle that provides financing to parties within an organization for implementing energy efficiency, renewable energy, and other sustainability projects that generate cost-savings. These savings are tracked and used to replenish the fund for the next round of green investments, thus establishing a sustainable funding cycle while cutting operating costs and reducing environmental impact.</w:t>
      </w:r>
      <w:r>
        <w:t xml:space="preserve"> </w:t>
      </w:r>
      <w:r w:rsidRPr="00C71A5D">
        <w:t xml:space="preserve">Established GRFs report a median annual ROI of 28 percent </w:t>
      </w:r>
      <w:r>
        <w:t>(</w:t>
      </w:r>
      <w:hyperlink r:id="rId31" w:anchor="reports" w:history="1">
        <w:r w:rsidRPr="00062C56">
          <w:rPr>
            <w:i/>
            <w:color w:val="0000FF" w:themeColor="hyperlink"/>
            <w:u w:val="single"/>
          </w:rPr>
          <w:t>SEI’s Greening the Bottom Line</w:t>
        </w:r>
        <w:r>
          <w:rPr>
            <w:color w:val="0000FF" w:themeColor="hyperlink"/>
            <w:u w:val="single"/>
          </w:rPr>
          <w:t>, 2012</w:t>
        </w:r>
      </w:hyperlink>
      <w:r w:rsidRPr="00C71A5D">
        <w:t>), reliably outperforming average endowment investment returns while hedging against rising energy costs.</w:t>
      </w:r>
    </w:p>
    <w:p w14:paraId="0495B4E4" w14:textId="77777777" w:rsidR="00F17FCE" w:rsidRPr="00C71A5D" w:rsidRDefault="00F17FCE" w:rsidP="00F17FCE">
      <w:pPr>
        <w:tabs>
          <w:tab w:val="left" w:pos="6480"/>
        </w:tabs>
        <w:spacing w:line="180" w:lineRule="auto"/>
        <w:jc w:val="both"/>
      </w:pPr>
    </w:p>
    <w:p w14:paraId="7E494B38" w14:textId="77777777" w:rsidR="00F17FCE" w:rsidRPr="00C71A5D" w:rsidRDefault="00F17FCE" w:rsidP="00936904">
      <w:pPr>
        <w:tabs>
          <w:tab w:val="left" w:pos="6480"/>
        </w:tabs>
        <w:jc w:val="both"/>
      </w:pPr>
      <w:r w:rsidRPr="00C71A5D">
        <w:t xml:space="preserve">A donor fund specifically for sustainability projects would provide an opportunity for donors to contribute to projects that would reduce D-HH’s environmental footprint. Donors could include local individuals, vendors and employees. The fund could also be a natural vehicle for foundation-based grants, allowing individual donors and participating foundations to see their funds amplified by other money. </w:t>
      </w:r>
    </w:p>
    <w:p w14:paraId="5CD78C9E" w14:textId="0B5D7B72" w:rsidR="00DF5EB9" w:rsidRDefault="00DF5EB9"/>
    <w:tbl>
      <w:tblPr>
        <w:tblStyle w:val="TableGrid1"/>
        <w:tblW w:w="0" w:type="auto"/>
        <w:tblLook w:val="04A0" w:firstRow="1" w:lastRow="0" w:firstColumn="1" w:lastColumn="0" w:noHBand="0" w:noVBand="1"/>
      </w:tblPr>
      <w:tblGrid>
        <w:gridCol w:w="10214"/>
      </w:tblGrid>
      <w:tr w:rsidR="00F17FCE" w:rsidRPr="00C71A5D" w14:paraId="602E9F1F" w14:textId="77777777" w:rsidTr="00160EB9">
        <w:tc>
          <w:tcPr>
            <w:tcW w:w="10214" w:type="dxa"/>
          </w:tcPr>
          <w:p w14:paraId="543A6B2E" w14:textId="77777777" w:rsidR="00F17FCE" w:rsidRPr="00C71A5D" w:rsidRDefault="00F17FCE" w:rsidP="0030702F">
            <w:pPr>
              <w:rPr>
                <w:color w:val="0070C0"/>
              </w:rPr>
            </w:pPr>
            <w:bookmarkStart w:id="38" w:name="EmployeeEngage"/>
            <w:bookmarkEnd w:id="38"/>
            <w:r w:rsidRPr="00C71A5D">
              <w:t xml:space="preserve">GOAL </w:t>
            </w:r>
            <w:r w:rsidR="00E440DC">
              <w:t>AREA 2</w:t>
            </w:r>
            <w:r w:rsidRPr="00C71A5D">
              <w:t>: EMPLOYEE KNOWLEDGE AND PARTICIPATION</w:t>
            </w:r>
          </w:p>
        </w:tc>
      </w:tr>
      <w:tr w:rsidR="00F17FCE" w:rsidRPr="00C71A5D" w14:paraId="1DB9094A" w14:textId="77777777" w:rsidTr="00160EB9">
        <w:tc>
          <w:tcPr>
            <w:tcW w:w="10214" w:type="dxa"/>
          </w:tcPr>
          <w:p w14:paraId="779B592D" w14:textId="76A30B3B" w:rsidR="00F17FCE" w:rsidRPr="00C71A5D" w:rsidRDefault="00DA1E12" w:rsidP="00DA1E12">
            <w:pPr>
              <w:rPr>
                <w:b/>
              </w:rPr>
            </w:pPr>
            <w:r w:rsidRPr="00DA1E12">
              <w:rPr>
                <w:b/>
              </w:rPr>
              <w:t>Double employee participation in sustainability efforts and employee understanding of the connection between environmental and human health.</w:t>
            </w:r>
            <w:r>
              <w:rPr>
                <w:b/>
              </w:rPr>
              <w:t>*</w:t>
            </w:r>
            <w:r w:rsidRPr="00DA1E12">
              <w:rPr>
                <w:b/>
              </w:rPr>
              <w:t xml:space="preserve"> </w:t>
            </w:r>
          </w:p>
        </w:tc>
      </w:tr>
    </w:tbl>
    <w:p w14:paraId="67F2D270" w14:textId="15B99372" w:rsidR="00DA1E12" w:rsidRPr="00DA1E12" w:rsidRDefault="00DA1E12" w:rsidP="0048690C">
      <w:pPr>
        <w:spacing w:before="60"/>
        <w:rPr>
          <w:rFonts w:cstheme="minorHAnsi"/>
        </w:rPr>
      </w:pPr>
      <w:r w:rsidRPr="00471742">
        <w:rPr>
          <w:rFonts w:cstheme="minorHAnsi"/>
        </w:rPr>
        <w:t>*</w:t>
      </w:r>
      <w:r w:rsidR="00A342DE">
        <w:rPr>
          <w:rFonts w:cstheme="minorHAnsi"/>
        </w:rPr>
        <w:t>Based on 2016</w:t>
      </w:r>
      <w:r w:rsidRPr="00471742">
        <w:rPr>
          <w:rFonts w:cstheme="minorHAnsi"/>
        </w:rPr>
        <w:t xml:space="preserve"> baseline</w:t>
      </w:r>
      <w:r>
        <w:rPr>
          <w:rFonts w:cstheme="minorHAnsi"/>
        </w:rPr>
        <w:t>.</w:t>
      </w:r>
    </w:p>
    <w:p w14:paraId="53FDAD5B" w14:textId="21B669EE" w:rsidR="00E440DC" w:rsidRDefault="00F17FCE" w:rsidP="0048690C">
      <w:pPr>
        <w:spacing w:before="120"/>
      </w:pPr>
      <w:r w:rsidRPr="00C71A5D">
        <w:rPr>
          <w:u w:val="single"/>
        </w:rPr>
        <w:t>Rationale</w:t>
      </w:r>
      <w:r w:rsidRPr="00C71A5D">
        <w:t>: Employees energized by their environmental journeys at their workplace become green champions and multipliers in the company and community. In his 2013 book </w:t>
      </w:r>
      <w:hyperlink r:id="rId32" w:history="1">
        <w:r w:rsidRPr="00DB1BB3">
          <w:rPr>
            <w:i/>
            <w:color w:val="0000FF" w:themeColor="hyperlink"/>
            <w:u w:val="single"/>
          </w:rPr>
          <w:t>Talent, Transformation and the Triple Bottom Line</w:t>
        </w:r>
      </w:hyperlink>
      <w:r>
        <w:rPr>
          <w:i/>
          <w:color w:val="0000FF" w:themeColor="hyperlink"/>
          <w:u w:val="single"/>
        </w:rPr>
        <w:t>,</w:t>
      </w:r>
      <w:r w:rsidRPr="00C71A5D">
        <w:t xml:space="preserve"> Andrew </w:t>
      </w:r>
      <w:proofErr w:type="spellStart"/>
      <w:r w:rsidRPr="00C71A5D">
        <w:t>Savitz</w:t>
      </w:r>
      <w:proofErr w:type="spellEnd"/>
      <w:r w:rsidRPr="00C71A5D">
        <w:t xml:space="preserve"> describes the inter-relationship between employee engagement, business results and environmental sustainability as "the golden triangle." The concept describes a mutually reinforcing relationship, whereby organizations positively affecting one of the three factors (sustainability) will, in turn, positively affect the other two (employee engagement and business results</w:t>
      </w:r>
      <w:r>
        <w:t>).</w:t>
      </w:r>
      <w:r w:rsidRPr="00C71A5D">
        <w:t xml:space="preserve"> </w:t>
      </w:r>
    </w:p>
    <w:p w14:paraId="45F05EAA" w14:textId="775DC592" w:rsidR="00493C08" w:rsidRDefault="00493C08"/>
    <w:tbl>
      <w:tblPr>
        <w:tblStyle w:val="TableGrid1"/>
        <w:tblW w:w="0" w:type="auto"/>
        <w:tblLook w:val="04A0" w:firstRow="1" w:lastRow="0" w:firstColumn="1" w:lastColumn="0" w:noHBand="0" w:noVBand="1"/>
      </w:tblPr>
      <w:tblGrid>
        <w:gridCol w:w="10214"/>
      </w:tblGrid>
      <w:tr w:rsidR="00F17FCE" w:rsidRPr="00C71A5D" w14:paraId="29BB31AB" w14:textId="77777777" w:rsidTr="00CB065E">
        <w:tc>
          <w:tcPr>
            <w:tcW w:w="10214" w:type="dxa"/>
          </w:tcPr>
          <w:p w14:paraId="316C7B19" w14:textId="77777777" w:rsidR="00F17FCE" w:rsidRPr="00C71A5D" w:rsidRDefault="00E440DC" w:rsidP="0030702F">
            <w:pPr>
              <w:rPr>
                <w:b/>
              </w:rPr>
            </w:pPr>
            <w:bookmarkStart w:id="39" w:name="NationalLead"/>
            <w:bookmarkEnd w:id="39"/>
            <w:r>
              <w:lastRenderedPageBreak/>
              <w:t>GOAL AREA 3</w:t>
            </w:r>
            <w:r w:rsidR="00F17FCE" w:rsidRPr="00C71A5D">
              <w:rPr>
                <w:caps/>
              </w:rPr>
              <w:t>:  LEADERSHIP in sustainability</w:t>
            </w:r>
          </w:p>
        </w:tc>
      </w:tr>
      <w:tr w:rsidR="00F17FCE" w:rsidRPr="00C71A5D" w14:paraId="335C67A5" w14:textId="77777777" w:rsidTr="00CB065E">
        <w:trPr>
          <w:trHeight w:val="305"/>
        </w:trPr>
        <w:tc>
          <w:tcPr>
            <w:tcW w:w="10214" w:type="dxa"/>
          </w:tcPr>
          <w:p w14:paraId="0D6D40D2" w14:textId="77777777" w:rsidR="00F17FCE" w:rsidRPr="00C71A5D" w:rsidRDefault="00F17FCE" w:rsidP="0030702F">
            <w:pPr>
              <w:rPr>
                <w:b/>
              </w:rPr>
            </w:pPr>
            <w:r w:rsidRPr="00C71A5D">
              <w:rPr>
                <w:b/>
              </w:rPr>
              <w:t>Establish clinical leadership in education and advocacy related to the connection between environmental and human health through participation in 10 events or publications</w:t>
            </w:r>
            <w:r w:rsidR="00E440DC">
              <w:rPr>
                <w:b/>
              </w:rPr>
              <w:t>.</w:t>
            </w:r>
          </w:p>
        </w:tc>
      </w:tr>
      <w:tr w:rsidR="002A2C3D" w:rsidRPr="00C71A5D" w14:paraId="6F101DC7" w14:textId="77777777" w:rsidTr="00CB065E">
        <w:trPr>
          <w:trHeight w:val="305"/>
        </w:trPr>
        <w:tc>
          <w:tcPr>
            <w:tcW w:w="10214" w:type="dxa"/>
          </w:tcPr>
          <w:p w14:paraId="7B00F6FC" w14:textId="11AB6852" w:rsidR="002A2C3D" w:rsidRPr="00C71A5D" w:rsidRDefault="002A2C3D" w:rsidP="0030702F">
            <w:pPr>
              <w:rPr>
                <w:b/>
              </w:rPr>
            </w:pPr>
            <w:r w:rsidRPr="00237A0C">
              <w:rPr>
                <w:b/>
              </w:rPr>
              <w:t>Increase sustainability leadership through measures added into performance objectives and regular communication from leadership to the staff and public</w:t>
            </w:r>
            <w:r w:rsidR="00FE0421" w:rsidRPr="00237A0C">
              <w:rPr>
                <w:b/>
              </w:rPr>
              <w:t>.</w:t>
            </w:r>
          </w:p>
        </w:tc>
      </w:tr>
    </w:tbl>
    <w:p w14:paraId="0C1BA03D" w14:textId="3AAF2BEA" w:rsidR="00F17FCE" w:rsidRPr="00C71A5D" w:rsidRDefault="00F17FCE" w:rsidP="0048690C">
      <w:pPr>
        <w:spacing w:before="120"/>
      </w:pPr>
      <w:r w:rsidRPr="00C71A5D">
        <w:rPr>
          <w:u w:val="single"/>
        </w:rPr>
        <w:t>Rationale</w:t>
      </w:r>
      <w:r w:rsidRPr="00C71A5D">
        <w:t xml:space="preserve">: Actively engaged leadership is essential to achieve success in implementing sustainability in an organization. Engaged leadership is the platform upon which every sustainability project rests. Leaders empower others within the organization to invest the necessary time, energy, resources and focus necessary to execute an effective sustainability program. (Healthier Hospitals Initiative </w:t>
      </w:r>
      <w:r w:rsidRPr="00C71A5D">
        <w:rPr>
          <w:i/>
          <w:iCs/>
        </w:rPr>
        <w:t>How-To Guide on Engaged Leadership</w:t>
      </w:r>
      <w:r w:rsidRPr="00C71A5D">
        <w:t>)</w:t>
      </w:r>
    </w:p>
    <w:p w14:paraId="1ADEFD42" w14:textId="77777777" w:rsidR="00F17FCE" w:rsidRPr="00C71A5D" w:rsidRDefault="00F17FCE" w:rsidP="00F17FCE">
      <w:pPr>
        <w:spacing w:line="360" w:lineRule="auto"/>
        <w:ind w:left="-86"/>
      </w:pPr>
    </w:p>
    <w:tbl>
      <w:tblPr>
        <w:tblStyle w:val="TableGrid1"/>
        <w:tblW w:w="0" w:type="auto"/>
        <w:tblLook w:val="04A0" w:firstRow="1" w:lastRow="0" w:firstColumn="1" w:lastColumn="0" w:noHBand="0" w:noVBand="1"/>
      </w:tblPr>
      <w:tblGrid>
        <w:gridCol w:w="10214"/>
      </w:tblGrid>
      <w:tr w:rsidR="00F17FCE" w:rsidRPr="00C71A5D" w14:paraId="4BF658A7" w14:textId="77777777" w:rsidTr="0030702F">
        <w:tc>
          <w:tcPr>
            <w:tcW w:w="10638" w:type="dxa"/>
          </w:tcPr>
          <w:p w14:paraId="77A6902F" w14:textId="77777777" w:rsidR="00F17FCE" w:rsidRPr="00C71A5D" w:rsidRDefault="00E440DC" w:rsidP="0030702F">
            <w:bookmarkStart w:id="40" w:name="ESExpansion"/>
            <w:bookmarkEnd w:id="40"/>
            <w:r>
              <w:t>GOAL AREA 4</w:t>
            </w:r>
            <w:r w:rsidR="00F17FCE" w:rsidRPr="00C71A5D">
              <w:t>: ENVIRONMENTAL SUSTAINABLIITY PROGRAM EXPANSION</w:t>
            </w:r>
          </w:p>
        </w:tc>
      </w:tr>
      <w:tr w:rsidR="00F17FCE" w:rsidRPr="00C71A5D" w14:paraId="44FE2872" w14:textId="77777777" w:rsidTr="0030702F">
        <w:tc>
          <w:tcPr>
            <w:tcW w:w="10638" w:type="dxa"/>
          </w:tcPr>
          <w:p w14:paraId="44B3E8FE" w14:textId="77777777" w:rsidR="00F17FCE" w:rsidRPr="00C71A5D" w:rsidRDefault="00F17FCE" w:rsidP="0030702F">
            <w:pPr>
              <w:rPr>
                <w:b/>
              </w:rPr>
            </w:pPr>
            <w:r w:rsidRPr="00C71A5D">
              <w:rPr>
                <w:b/>
              </w:rPr>
              <w:t>Expand environmental sustainability program support to affiliate hospitals</w:t>
            </w:r>
            <w:r w:rsidR="00E440DC">
              <w:rPr>
                <w:b/>
              </w:rPr>
              <w:t>.</w:t>
            </w:r>
          </w:p>
        </w:tc>
      </w:tr>
    </w:tbl>
    <w:p w14:paraId="0F90F2C0" w14:textId="77777777" w:rsidR="00F17FCE" w:rsidRDefault="00F17FCE" w:rsidP="0048690C">
      <w:pPr>
        <w:spacing w:before="120"/>
      </w:pPr>
      <w:r w:rsidRPr="0048690C">
        <w:rPr>
          <w:u w:val="single"/>
        </w:rPr>
        <w:t>Rationale</w:t>
      </w:r>
      <w:r w:rsidRPr="00C71A5D">
        <w:t>: As D-HH continues to grow, our environmental sustainability initiatives will further enhance the value we bring to the affiliates and the region.</w:t>
      </w:r>
    </w:p>
    <w:p w14:paraId="33709553" w14:textId="1392C6E3" w:rsidR="00CB065E" w:rsidRPr="00A81228" w:rsidRDefault="00CB065E" w:rsidP="001020AA">
      <w:pPr>
        <w:rPr>
          <w:rStyle w:val="Heading1Char"/>
          <w:rFonts w:asciiTheme="minorHAnsi" w:eastAsiaTheme="minorHAnsi" w:hAnsiTheme="minorHAnsi" w:cstheme="minorHAnsi"/>
          <w:b w:val="0"/>
          <w:bCs w:val="0"/>
          <w:color w:val="auto"/>
          <w:sz w:val="22"/>
          <w:szCs w:val="22"/>
        </w:rPr>
        <w:sectPr w:rsidR="00CB065E" w:rsidRPr="00A81228" w:rsidSect="00493C08">
          <w:footerReference w:type="default" r:id="rId33"/>
          <w:headerReference w:type="first" r:id="rId34"/>
          <w:footerReference w:type="first" r:id="rId35"/>
          <w:type w:val="continuous"/>
          <w:pgSz w:w="12240" w:h="15840"/>
          <w:pgMar w:top="864" w:right="1008" w:bottom="720" w:left="1008" w:header="720" w:footer="720" w:gutter="0"/>
          <w:cols w:space="720"/>
          <w:titlePg/>
          <w:docGrid w:linePitch="360"/>
        </w:sectPr>
      </w:pPr>
    </w:p>
    <w:p w14:paraId="6B31F1B4" w14:textId="77777777" w:rsidR="00DE7493" w:rsidRPr="00144407" w:rsidRDefault="00E84D1F" w:rsidP="00DE7493">
      <w:pPr>
        <w:pStyle w:val="Title"/>
        <w:ind w:left="-90"/>
        <w:rPr>
          <w:sz w:val="48"/>
          <w:szCs w:val="48"/>
        </w:rPr>
      </w:pPr>
      <w:r>
        <w:rPr>
          <w:rFonts w:cstheme="minorHAnsi"/>
        </w:rPr>
        <w:lastRenderedPageBreak/>
        <w:br w:type="page"/>
      </w:r>
      <w:bookmarkStart w:id="41" w:name="_Toc440523761"/>
      <w:r w:rsidR="00DE7493" w:rsidRPr="00CB3273">
        <w:rPr>
          <w:rStyle w:val="Heading1Char"/>
          <w:b w:val="0"/>
          <w:color w:val="auto"/>
          <w:sz w:val="48"/>
          <w:szCs w:val="48"/>
        </w:rPr>
        <w:lastRenderedPageBreak/>
        <w:t>Summary Table</w:t>
      </w:r>
      <w:bookmarkEnd w:id="41"/>
      <w:r w:rsidR="00DE7493">
        <w:rPr>
          <w:sz w:val="48"/>
          <w:szCs w:val="48"/>
        </w:rPr>
        <w:t>: D</w:t>
      </w:r>
      <w:r w:rsidR="00DE7493" w:rsidRPr="00144407">
        <w:rPr>
          <w:sz w:val="48"/>
          <w:szCs w:val="48"/>
        </w:rPr>
        <w:t>artmouth-Hitchcock Health</w:t>
      </w:r>
    </w:p>
    <w:p w14:paraId="761276C8" w14:textId="77777777" w:rsidR="00DE7493" w:rsidRPr="00144407" w:rsidRDefault="00DE7493" w:rsidP="00DE7493">
      <w:pPr>
        <w:pStyle w:val="Title"/>
        <w:ind w:left="-90"/>
        <w:rPr>
          <w:sz w:val="48"/>
          <w:szCs w:val="48"/>
        </w:rPr>
      </w:pPr>
      <w:r>
        <w:rPr>
          <w:sz w:val="48"/>
          <w:szCs w:val="48"/>
        </w:rPr>
        <w:t>2020</w:t>
      </w:r>
      <w:r w:rsidRPr="00144407">
        <w:rPr>
          <w:sz w:val="48"/>
          <w:szCs w:val="48"/>
        </w:rPr>
        <w:t xml:space="preserve"> </w:t>
      </w:r>
      <w:r>
        <w:rPr>
          <w:sz w:val="48"/>
          <w:szCs w:val="48"/>
        </w:rPr>
        <w:t xml:space="preserve">Environmental </w:t>
      </w:r>
      <w:r w:rsidRPr="00144407">
        <w:rPr>
          <w:sz w:val="48"/>
          <w:szCs w:val="48"/>
        </w:rPr>
        <w:t xml:space="preserve">Sustainability Goals* </w:t>
      </w:r>
    </w:p>
    <w:p w14:paraId="3D63C22E" w14:textId="77777777" w:rsidR="00DE7493" w:rsidRDefault="00DE7493" w:rsidP="00DE7493"/>
    <w:tbl>
      <w:tblPr>
        <w:tblStyle w:val="MediumShading1-Accent1"/>
        <w:tblW w:w="10530" w:type="dxa"/>
        <w:tblInd w:w="-113" w:type="dxa"/>
        <w:tblBorders>
          <w:top w:val="single" w:sz="18" w:space="0" w:color="auto"/>
          <w:left w:val="single" w:sz="18" w:space="0" w:color="auto"/>
          <w:bottom w:val="single" w:sz="18" w:space="0" w:color="auto"/>
          <w:right w:val="single" w:sz="18" w:space="0" w:color="auto"/>
          <w:insideH w:val="single" w:sz="12" w:space="0" w:color="auto"/>
          <w:insideV w:val="single" w:sz="18" w:space="0" w:color="auto"/>
        </w:tblBorders>
        <w:tblLook w:val="04A0" w:firstRow="1" w:lastRow="0" w:firstColumn="1" w:lastColumn="0" w:noHBand="0" w:noVBand="1"/>
      </w:tblPr>
      <w:tblGrid>
        <w:gridCol w:w="1998"/>
        <w:gridCol w:w="8532"/>
      </w:tblGrid>
      <w:tr w:rsidR="00DE7493" w14:paraId="50503FD3" w14:textId="77777777" w:rsidTr="00D3089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98" w:type="dxa"/>
            <w:tcBorders>
              <w:top w:val="single" w:sz="18" w:space="0" w:color="auto"/>
              <w:left w:val="single" w:sz="18" w:space="0" w:color="auto"/>
              <w:bottom w:val="single" w:sz="18" w:space="0" w:color="auto"/>
              <w:right w:val="single" w:sz="18" w:space="0" w:color="auto"/>
            </w:tcBorders>
          </w:tcPr>
          <w:p w14:paraId="371D2B5D" w14:textId="77777777" w:rsidR="00DE7493" w:rsidRPr="00D03547" w:rsidRDefault="00DE7493" w:rsidP="00D30890">
            <w:pPr>
              <w:jc w:val="center"/>
              <w:rPr>
                <w:sz w:val="28"/>
                <w:szCs w:val="28"/>
              </w:rPr>
            </w:pPr>
            <w:r w:rsidRPr="00D03547">
              <w:rPr>
                <w:sz w:val="28"/>
                <w:szCs w:val="28"/>
              </w:rPr>
              <w:t>DOMAIN</w:t>
            </w:r>
          </w:p>
        </w:tc>
        <w:tc>
          <w:tcPr>
            <w:tcW w:w="8532" w:type="dxa"/>
            <w:tcBorders>
              <w:top w:val="single" w:sz="18" w:space="0" w:color="auto"/>
              <w:left w:val="single" w:sz="18" w:space="0" w:color="auto"/>
              <w:bottom w:val="single" w:sz="18" w:space="0" w:color="auto"/>
              <w:right w:val="single" w:sz="18" w:space="0" w:color="auto"/>
            </w:tcBorders>
          </w:tcPr>
          <w:p w14:paraId="751561A7" w14:textId="77777777" w:rsidR="00DE7493" w:rsidRPr="00D03547" w:rsidRDefault="00DE7493" w:rsidP="00D30890">
            <w:pPr>
              <w:jc w:val="center"/>
              <w:cnfStyle w:val="100000000000" w:firstRow="1" w:lastRow="0" w:firstColumn="0" w:lastColumn="0" w:oddVBand="0" w:evenVBand="0" w:oddHBand="0" w:evenHBand="0" w:firstRowFirstColumn="0" w:firstRowLastColumn="0" w:lastRowFirstColumn="0" w:lastRowLastColumn="0"/>
              <w:rPr>
                <w:b w:val="0"/>
                <w:sz w:val="28"/>
                <w:szCs w:val="28"/>
              </w:rPr>
            </w:pPr>
            <w:r w:rsidRPr="00D03547">
              <w:rPr>
                <w:b w:val="0"/>
                <w:sz w:val="28"/>
                <w:szCs w:val="28"/>
              </w:rPr>
              <w:t>GOAL</w:t>
            </w:r>
          </w:p>
        </w:tc>
      </w:tr>
      <w:tr w:rsidR="00DE7493" w14:paraId="3DBF45E6" w14:textId="77777777" w:rsidTr="00D308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vMerge w:val="restart"/>
            <w:tcBorders>
              <w:top w:val="single" w:sz="18" w:space="0" w:color="auto"/>
              <w:bottom w:val="single" w:sz="12" w:space="0" w:color="auto"/>
              <w:right w:val="single" w:sz="18" w:space="0" w:color="auto"/>
            </w:tcBorders>
            <w:shd w:val="clear" w:color="auto" w:fill="C6D9F1" w:themeFill="text2" w:themeFillTint="33"/>
            <w:vAlign w:val="center"/>
          </w:tcPr>
          <w:p w14:paraId="31AD5ABE" w14:textId="77777777" w:rsidR="00DE7493" w:rsidRPr="00F326FC" w:rsidRDefault="00DE7493" w:rsidP="00D30890">
            <w:pPr>
              <w:rPr>
                <w:color w:val="000000" w:themeColor="text1"/>
                <w:sz w:val="28"/>
                <w:szCs w:val="28"/>
              </w:rPr>
            </w:pPr>
            <w:r w:rsidRPr="00F326FC">
              <w:rPr>
                <w:color w:val="000000" w:themeColor="text1"/>
                <w:sz w:val="28"/>
                <w:szCs w:val="28"/>
              </w:rPr>
              <w:t>Leaner Energy</w:t>
            </w:r>
            <w:r>
              <w:rPr>
                <w:color w:val="000000" w:themeColor="text1"/>
                <w:sz w:val="28"/>
                <w:szCs w:val="28"/>
              </w:rPr>
              <w:t xml:space="preserve"> and Water</w:t>
            </w:r>
          </w:p>
        </w:tc>
        <w:tc>
          <w:tcPr>
            <w:tcW w:w="8532" w:type="dxa"/>
            <w:tcBorders>
              <w:top w:val="single" w:sz="18" w:space="0" w:color="auto"/>
              <w:left w:val="single" w:sz="18" w:space="0" w:color="auto"/>
              <w:bottom w:val="single" w:sz="12" w:space="0" w:color="auto"/>
            </w:tcBorders>
            <w:shd w:val="clear" w:color="auto" w:fill="C6D9F1" w:themeFill="text2" w:themeFillTint="33"/>
          </w:tcPr>
          <w:p w14:paraId="627F03BD" w14:textId="77777777" w:rsidR="00DE7493" w:rsidRPr="00AE1CC8" w:rsidRDefault="00DE7493" w:rsidP="00D30890">
            <w:pPr>
              <w:cnfStyle w:val="000000100000" w:firstRow="0" w:lastRow="0" w:firstColumn="0" w:lastColumn="0" w:oddVBand="0" w:evenVBand="0" w:oddHBand="1" w:evenHBand="0" w:firstRowFirstColumn="0" w:firstRowLastColumn="0" w:lastRowFirstColumn="0" w:lastRowLastColumn="0"/>
              <w:rPr>
                <w:sz w:val="28"/>
                <w:szCs w:val="28"/>
              </w:rPr>
            </w:pPr>
            <w:r w:rsidRPr="00AE1CC8">
              <w:rPr>
                <w:sz w:val="28"/>
                <w:szCs w:val="28"/>
              </w:rPr>
              <w:t xml:space="preserve">Reduce </w:t>
            </w:r>
            <w:r>
              <w:rPr>
                <w:sz w:val="28"/>
                <w:szCs w:val="28"/>
              </w:rPr>
              <w:t>greenhouse gas (</w:t>
            </w:r>
            <w:r w:rsidRPr="00AE1CC8">
              <w:rPr>
                <w:sz w:val="28"/>
                <w:szCs w:val="28"/>
              </w:rPr>
              <w:t>GHG</w:t>
            </w:r>
            <w:r>
              <w:rPr>
                <w:sz w:val="28"/>
                <w:szCs w:val="28"/>
              </w:rPr>
              <w:t>) emissions by 25%.</w:t>
            </w:r>
          </w:p>
        </w:tc>
      </w:tr>
      <w:tr w:rsidR="00DE7493" w14:paraId="03AF93AB" w14:textId="77777777" w:rsidTr="00D3089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vMerge/>
            <w:tcBorders>
              <w:top w:val="single" w:sz="12" w:space="0" w:color="auto"/>
              <w:bottom w:val="single" w:sz="12" w:space="0" w:color="auto"/>
              <w:right w:val="single" w:sz="18" w:space="0" w:color="auto"/>
            </w:tcBorders>
            <w:shd w:val="clear" w:color="auto" w:fill="C6D9F1" w:themeFill="text2" w:themeFillTint="33"/>
            <w:vAlign w:val="center"/>
          </w:tcPr>
          <w:p w14:paraId="6DE95308" w14:textId="77777777" w:rsidR="00DE7493" w:rsidRPr="00F326FC" w:rsidRDefault="00DE7493" w:rsidP="00D30890">
            <w:pPr>
              <w:rPr>
                <w:color w:val="000000" w:themeColor="text1"/>
                <w:sz w:val="28"/>
                <w:szCs w:val="28"/>
              </w:rPr>
            </w:pPr>
          </w:p>
        </w:tc>
        <w:tc>
          <w:tcPr>
            <w:tcW w:w="8532" w:type="dxa"/>
            <w:tcBorders>
              <w:top w:val="single" w:sz="12" w:space="0" w:color="auto"/>
              <w:left w:val="single" w:sz="18" w:space="0" w:color="auto"/>
              <w:bottom w:val="single" w:sz="12" w:space="0" w:color="auto"/>
            </w:tcBorders>
            <w:shd w:val="clear" w:color="auto" w:fill="C6D9F1" w:themeFill="text2" w:themeFillTint="33"/>
          </w:tcPr>
          <w:p w14:paraId="2B2348E0" w14:textId="77777777" w:rsidR="00DE7493" w:rsidRPr="00AE1CC8" w:rsidRDefault="00DE7493" w:rsidP="00D30890">
            <w:pPr>
              <w:cnfStyle w:val="000000010000" w:firstRow="0" w:lastRow="0" w:firstColumn="0" w:lastColumn="0" w:oddVBand="0" w:evenVBand="0" w:oddHBand="0" w:evenHBand="1" w:firstRowFirstColumn="0" w:firstRowLastColumn="0" w:lastRowFirstColumn="0" w:lastRowLastColumn="0"/>
              <w:rPr>
                <w:sz w:val="28"/>
                <w:szCs w:val="28"/>
              </w:rPr>
            </w:pPr>
            <w:r w:rsidRPr="00AE1CC8">
              <w:rPr>
                <w:sz w:val="28"/>
                <w:szCs w:val="28"/>
              </w:rPr>
              <w:t>Achieve 20% reduction in Energy Use Intensity (EUI).</w:t>
            </w:r>
          </w:p>
        </w:tc>
      </w:tr>
      <w:tr w:rsidR="00DE7493" w14:paraId="11BCF4E5" w14:textId="77777777" w:rsidTr="00D308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vMerge/>
            <w:tcBorders>
              <w:top w:val="single" w:sz="12" w:space="0" w:color="auto"/>
              <w:bottom w:val="single" w:sz="18" w:space="0" w:color="auto"/>
              <w:right w:val="single" w:sz="18" w:space="0" w:color="auto"/>
            </w:tcBorders>
            <w:shd w:val="clear" w:color="auto" w:fill="C6D9F1" w:themeFill="text2" w:themeFillTint="33"/>
            <w:vAlign w:val="center"/>
          </w:tcPr>
          <w:p w14:paraId="01C0B5E1" w14:textId="77777777" w:rsidR="00DE7493" w:rsidRPr="00F326FC" w:rsidRDefault="00DE7493" w:rsidP="00D30890">
            <w:pPr>
              <w:rPr>
                <w:color w:val="000000" w:themeColor="text1"/>
                <w:sz w:val="28"/>
                <w:szCs w:val="28"/>
              </w:rPr>
            </w:pPr>
          </w:p>
        </w:tc>
        <w:tc>
          <w:tcPr>
            <w:tcW w:w="8532" w:type="dxa"/>
            <w:tcBorders>
              <w:top w:val="single" w:sz="12" w:space="0" w:color="auto"/>
              <w:left w:val="single" w:sz="18" w:space="0" w:color="auto"/>
              <w:bottom w:val="single" w:sz="18" w:space="0" w:color="auto"/>
            </w:tcBorders>
            <w:shd w:val="clear" w:color="auto" w:fill="C6D9F1" w:themeFill="text2" w:themeFillTint="33"/>
          </w:tcPr>
          <w:p w14:paraId="590E3966" w14:textId="77777777" w:rsidR="00DE7493" w:rsidRPr="00AE1CC8" w:rsidRDefault="00DE7493" w:rsidP="00D30890">
            <w:pPr>
              <w:cnfStyle w:val="000000100000" w:firstRow="0" w:lastRow="0" w:firstColumn="0" w:lastColumn="0" w:oddVBand="0" w:evenVBand="0" w:oddHBand="1" w:evenHBand="0" w:firstRowFirstColumn="0" w:firstRowLastColumn="0" w:lastRowFirstColumn="0" w:lastRowLastColumn="0"/>
              <w:rPr>
                <w:sz w:val="28"/>
                <w:szCs w:val="28"/>
              </w:rPr>
            </w:pPr>
            <w:r w:rsidRPr="00C21B6F">
              <w:rPr>
                <w:sz w:val="28"/>
                <w:szCs w:val="28"/>
              </w:rPr>
              <w:t>Achieve 5% reduction in water use per square foot</w:t>
            </w:r>
            <w:r>
              <w:rPr>
                <w:sz w:val="28"/>
                <w:szCs w:val="28"/>
              </w:rPr>
              <w:t>.</w:t>
            </w:r>
          </w:p>
        </w:tc>
      </w:tr>
      <w:tr w:rsidR="00DE7493" w14:paraId="201595FB" w14:textId="77777777" w:rsidTr="00D3089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vMerge w:val="restart"/>
            <w:tcBorders>
              <w:top w:val="single" w:sz="18" w:space="0" w:color="auto"/>
              <w:bottom w:val="single" w:sz="12" w:space="0" w:color="auto"/>
              <w:right w:val="single" w:sz="18" w:space="0" w:color="auto"/>
            </w:tcBorders>
            <w:shd w:val="clear" w:color="auto" w:fill="auto"/>
            <w:vAlign w:val="center"/>
          </w:tcPr>
          <w:p w14:paraId="190BC2D2" w14:textId="77777777" w:rsidR="00DE7493" w:rsidRPr="00F326FC" w:rsidRDefault="00DE7493" w:rsidP="00D30890">
            <w:pPr>
              <w:rPr>
                <w:color w:val="000000" w:themeColor="text1"/>
                <w:sz w:val="28"/>
                <w:szCs w:val="28"/>
              </w:rPr>
            </w:pPr>
            <w:r>
              <w:rPr>
                <w:color w:val="000000" w:themeColor="text1"/>
                <w:sz w:val="28"/>
                <w:szCs w:val="28"/>
              </w:rPr>
              <w:t>Bett</w:t>
            </w:r>
            <w:r w:rsidRPr="00F326FC">
              <w:rPr>
                <w:color w:val="000000" w:themeColor="text1"/>
                <w:sz w:val="28"/>
                <w:szCs w:val="28"/>
              </w:rPr>
              <w:t>er Building</w:t>
            </w:r>
          </w:p>
        </w:tc>
        <w:tc>
          <w:tcPr>
            <w:tcW w:w="8532" w:type="dxa"/>
            <w:tcBorders>
              <w:top w:val="single" w:sz="18" w:space="0" w:color="auto"/>
              <w:left w:val="single" w:sz="18" w:space="0" w:color="auto"/>
              <w:bottom w:val="single" w:sz="12" w:space="0" w:color="auto"/>
            </w:tcBorders>
            <w:shd w:val="clear" w:color="auto" w:fill="auto"/>
          </w:tcPr>
          <w:p w14:paraId="733DACA8" w14:textId="77777777" w:rsidR="00DE7493" w:rsidRPr="00AE1CC8" w:rsidRDefault="00DE7493" w:rsidP="00D30890">
            <w:pPr>
              <w:cnfStyle w:val="000000010000" w:firstRow="0" w:lastRow="0" w:firstColumn="0" w:lastColumn="0" w:oddVBand="0" w:evenVBand="0" w:oddHBand="0" w:evenHBand="1" w:firstRowFirstColumn="0" w:firstRowLastColumn="0" w:lastRowFirstColumn="0" w:lastRowLastColumn="0"/>
              <w:rPr>
                <w:sz w:val="28"/>
                <w:szCs w:val="28"/>
              </w:rPr>
            </w:pPr>
            <w:r w:rsidRPr="00AE1CC8">
              <w:rPr>
                <w:rFonts w:cstheme="minorHAnsi"/>
                <w:sz w:val="28"/>
                <w:szCs w:val="28"/>
              </w:rPr>
              <w:t xml:space="preserve">Design and construct </w:t>
            </w:r>
            <w:r>
              <w:rPr>
                <w:rFonts w:cstheme="minorHAnsi"/>
                <w:sz w:val="28"/>
                <w:szCs w:val="28"/>
              </w:rPr>
              <w:t xml:space="preserve">all new buildings </w:t>
            </w:r>
            <w:r w:rsidRPr="00AE1CC8">
              <w:rPr>
                <w:rFonts w:cstheme="minorHAnsi"/>
                <w:sz w:val="28"/>
                <w:szCs w:val="28"/>
              </w:rPr>
              <w:t>to LEED certification requir</w:t>
            </w:r>
            <w:r>
              <w:rPr>
                <w:rFonts w:cstheme="minorHAnsi"/>
                <w:sz w:val="28"/>
                <w:szCs w:val="28"/>
              </w:rPr>
              <w:t>ements.</w:t>
            </w:r>
          </w:p>
        </w:tc>
      </w:tr>
      <w:tr w:rsidR="00DE7493" w14:paraId="3C34B998" w14:textId="77777777" w:rsidTr="00D308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vMerge/>
            <w:tcBorders>
              <w:top w:val="single" w:sz="12" w:space="0" w:color="auto"/>
              <w:bottom w:val="single" w:sz="12" w:space="0" w:color="auto"/>
              <w:right w:val="single" w:sz="18" w:space="0" w:color="auto"/>
            </w:tcBorders>
            <w:shd w:val="clear" w:color="auto" w:fill="auto"/>
            <w:vAlign w:val="center"/>
          </w:tcPr>
          <w:p w14:paraId="772775DA" w14:textId="77777777" w:rsidR="00DE7493" w:rsidRPr="00F326FC" w:rsidRDefault="00DE7493" w:rsidP="00D30890">
            <w:pPr>
              <w:rPr>
                <w:color w:val="000000" w:themeColor="text1"/>
                <w:sz w:val="28"/>
                <w:szCs w:val="28"/>
              </w:rPr>
            </w:pPr>
          </w:p>
        </w:tc>
        <w:tc>
          <w:tcPr>
            <w:tcW w:w="8532" w:type="dxa"/>
            <w:tcBorders>
              <w:top w:val="single" w:sz="12" w:space="0" w:color="auto"/>
              <w:left w:val="single" w:sz="18" w:space="0" w:color="auto"/>
              <w:bottom w:val="single" w:sz="12" w:space="0" w:color="auto"/>
            </w:tcBorders>
            <w:shd w:val="clear" w:color="auto" w:fill="auto"/>
          </w:tcPr>
          <w:p w14:paraId="3FE12AD3" w14:textId="77777777" w:rsidR="00DE7493" w:rsidRPr="00AE1CC8" w:rsidRDefault="00DE7493" w:rsidP="00D30890">
            <w:pPr>
              <w:cnfStyle w:val="000000100000" w:firstRow="0" w:lastRow="0" w:firstColumn="0" w:lastColumn="0" w:oddVBand="0" w:evenVBand="0" w:oddHBand="1" w:evenHBand="0" w:firstRowFirstColumn="0" w:firstRowLastColumn="0" w:lastRowFirstColumn="0" w:lastRowLastColumn="0"/>
              <w:rPr>
                <w:rFonts w:cstheme="minorHAnsi"/>
                <w:sz w:val="28"/>
                <w:szCs w:val="28"/>
              </w:rPr>
            </w:pPr>
            <w:r>
              <w:rPr>
                <w:rFonts w:cstheme="minorHAnsi"/>
                <w:sz w:val="28"/>
                <w:szCs w:val="28"/>
              </w:rPr>
              <w:t xml:space="preserve">Power all </w:t>
            </w:r>
            <w:r w:rsidRPr="00AE1CC8">
              <w:rPr>
                <w:rFonts w:cstheme="minorHAnsi"/>
                <w:sz w:val="28"/>
                <w:szCs w:val="28"/>
              </w:rPr>
              <w:t>new free-standing building</w:t>
            </w:r>
            <w:r>
              <w:rPr>
                <w:rFonts w:cstheme="minorHAnsi"/>
                <w:sz w:val="28"/>
                <w:szCs w:val="28"/>
              </w:rPr>
              <w:t>s with non-fossil fuels as the</w:t>
            </w:r>
            <w:r w:rsidRPr="00AE1CC8">
              <w:rPr>
                <w:rFonts w:cstheme="minorHAnsi"/>
                <w:sz w:val="28"/>
                <w:szCs w:val="28"/>
              </w:rPr>
              <w:t xml:space="preserve"> primary fuel source.</w:t>
            </w:r>
          </w:p>
        </w:tc>
      </w:tr>
      <w:tr w:rsidR="00DE7493" w14:paraId="2B2D8DA1" w14:textId="77777777" w:rsidTr="00D3089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vMerge/>
            <w:tcBorders>
              <w:top w:val="single" w:sz="12" w:space="0" w:color="auto"/>
              <w:bottom w:val="single" w:sz="12" w:space="0" w:color="auto"/>
              <w:right w:val="single" w:sz="18" w:space="0" w:color="auto"/>
            </w:tcBorders>
            <w:shd w:val="clear" w:color="auto" w:fill="auto"/>
            <w:vAlign w:val="center"/>
          </w:tcPr>
          <w:p w14:paraId="4DC0C6FF" w14:textId="77777777" w:rsidR="00DE7493" w:rsidRPr="00F326FC" w:rsidRDefault="00DE7493" w:rsidP="00D30890">
            <w:pPr>
              <w:rPr>
                <w:color w:val="000000" w:themeColor="text1"/>
                <w:sz w:val="28"/>
                <w:szCs w:val="28"/>
              </w:rPr>
            </w:pPr>
          </w:p>
        </w:tc>
        <w:tc>
          <w:tcPr>
            <w:tcW w:w="8532" w:type="dxa"/>
            <w:tcBorders>
              <w:top w:val="single" w:sz="12" w:space="0" w:color="auto"/>
              <w:left w:val="single" w:sz="18" w:space="0" w:color="auto"/>
              <w:bottom w:val="single" w:sz="12" w:space="0" w:color="auto"/>
            </w:tcBorders>
            <w:shd w:val="clear" w:color="auto" w:fill="auto"/>
          </w:tcPr>
          <w:p w14:paraId="779F091D" w14:textId="77777777" w:rsidR="00DE7493" w:rsidRDefault="00DE7493" w:rsidP="00D30890">
            <w:pPr>
              <w:cnfStyle w:val="000000010000" w:firstRow="0" w:lastRow="0" w:firstColumn="0" w:lastColumn="0" w:oddVBand="0" w:evenVBand="0" w:oddHBand="0" w:evenHBand="1" w:firstRowFirstColumn="0" w:firstRowLastColumn="0" w:lastRowFirstColumn="0" w:lastRowLastColumn="0"/>
              <w:rPr>
                <w:rFonts w:cstheme="minorHAnsi"/>
                <w:sz w:val="28"/>
                <w:szCs w:val="28"/>
              </w:rPr>
            </w:pPr>
            <w:r>
              <w:rPr>
                <w:rFonts w:cstheme="minorHAnsi"/>
                <w:sz w:val="28"/>
                <w:szCs w:val="28"/>
              </w:rPr>
              <w:t>Design all new buildings</w:t>
            </w:r>
            <w:r w:rsidRPr="00C21B6F">
              <w:rPr>
                <w:rFonts w:cstheme="minorHAnsi"/>
                <w:sz w:val="28"/>
                <w:szCs w:val="28"/>
              </w:rPr>
              <w:t xml:space="preserve"> to achieve </w:t>
            </w:r>
            <w:proofErr w:type="gramStart"/>
            <w:r w:rsidRPr="00C21B6F">
              <w:rPr>
                <w:rFonts w:cstheme="minorHAnsi"/>
                <w:sz w:val="28"/>
                <w:szCs w:val="28"/>
              </w:rPr>
              <w:t>an</w:t>
            </w:r>
            <w:proofErr w:type="gramEnd"/>
            <w:r w:rsidRPr="00C21B6F">
              <w:rPr>
                <w:rFonts w:cstheme="minorHAnsi"/>
                <w:sz w:val="28"/>
                <w:szCs w:val="28"/>
              </w:rPr>
              <w:t xml:space="preserve"> EUI 20% better than average for its building type in the region</w:t>
            </w:r>
            <w:r>
              <w:rPr>
                <w:rFonts w:cstheme="minorHAnsi"/>
                <w:sz w:val="28"/>
                <w:szCs w:val="28"/>
              </w:rPr>
              <w:t>.</w:t>
            </w:r>
          </w:p>
        </w:tc>
      </w:tr>
      <w:tr w:rsidR="00DE7493" w14:paraId="6AFC9CB2" w14:textId="77777777" w:rsidTr="00D308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vMerge/>
            <w:tcBorders>
              <w:top w:val="single" w:sz="12" w:space="0" w:color="auto"/>
              <w:bottom w:val="single" w:sz="12" w:space="0" w:color="auto"/>
              <w:right w:val="single" w:sz="18" w:space="0" w:color="auto"/>
            </w:tcBorders>
            <w:shd w:val="clear" w:color="auto" w:fill="auto"/>
            <w:vAlign w:val="center"/>
          </w:tcPr>
          <w:p w14:paraId="0D9F2924" w14:textId="77777777" w:rsidR="00DE7493" w:rsidRPr="00F326FC" w:rsidRDefault="00DE7493" w:rsidP="00D30890">
            <w:pPr>
              <w:rPr>
                <w:color w:val="000000" w:themeColor="text1"/>
                <w:sz w:val="28"/>
                <w:szCs w:val="28"/>
              </w:rPr>
            </w:pPr>
          </w:p>
        </w:tc>
        <w:tc>
          <w:tcPr>
            <w:tcW w:w="8532" w:type="dxa"/>
            <w:tcBorders>
              <w:top w:val="single" w:sz="12" w:space="0" w:color="auto"/>
              <w:left w:val="single" w:sz="18" w:space="0" w:color="auto"/>
              <w:bottom w:val="single" w:sz="12" w:space="0" w:color="auto"/>
            </w:tcBorders>
            <w:shd w:val="clear" w:color="auto" w:fill="auto"/>
          </w:tcPr>
          <w:p w14:paraId="2DFA00C7" w14:textId="77777777" w:rsidR="00DE7493" w:rsidRDefault="00DE7493" w:rsidP="00D30890">
            <w:pPr>
              <w:cnfStyle w:val="000000100000" w:firstRow="0" w:lastRow="0" w:firstColumn="0" w:lastColumn="0" w:oddVBand="0" w:evenVBand="0" w:oddHBand="1" w:evenHBand="0" w:firstRowFirstColumn="0" w:firstRowLastColumn="0" w:lastRowFirstColumn="0" w:lastRowLastColumn="0"/>
              <w:rPr>
                <w:rFonts w:cstheme="minorHAnsi"/>
                <w:sz w:val="28"/>
                <w:szCs w:val="28"/>
              </w:rPr>
            </w:pPr>
            <w:r w:rsidRPr="00C21B6F">
              <w:rPr>
                <w:rFonts w:cstheme="minorHAnsi"/>
                <w:sz w:val="28"/>
                <w:szCs w:val="28"/>
              </w:rPr>
              <w:t xml:space="preserve">Develop and operationalize a tiered </w:t>
            </w:r>
            <w:r>
              <w:rPr>
                <w:rFonts w:cstheme="minorHAnsi"/>
                <w:sz w:val="28"/>
                <w:szCs w:val="28"/>
              </w:rPr>
              <w:t>building products directory based on environmental attributes.</w:t>
            </w:r>
          </w:p>
        </w:tc>
      </w:tr>
      <w:tr w:rsidR="00DE7493" w14:paraId="24349E92" w14:textId="77777777" w:rsidTr="00D3089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vMerge/>
            <w:tcBorders>
              <w:top w:val="single" w:sz="12" w:space="0" w:color="auto"/>
              <w:bottom w:val="single" w:sz="18" w:space="0" w:color="auto"/>
              <w:right w:val="single" w:sz="18" w:space="0" w:color="auto"/>
            </w:tcBorders>
            <w:shd w:val="clear" w:color="auto" w:fill="auto"/>
            <w:vAlign w:val="center"/>
          </w:tcPr>
          <w:p w14:paraId="781440A9" w14:textId="77777777" w:rsidR="00DE7493" w:rsidRPr="00F326FC" w:rsidRDefault="00DE7493" w:rsidP="00D30890">
            <w:pPr>
              <w:rPr>
                <w:color w:val="000000" w:themeColor="text1"/>
                <w:sz w:val="28"/>
                <w:szCs w:val="28"/>
              </w:rPr>
            </w:pPr>
          </w:p>
        </w:tc>
        <w:tc>
          <w:tcPr>
            <w:tcW w:w="8532" w:type="dxa"/>
            <w:tcBorders>
              <w:top w:val="single" w:sz="12" w:space="0" w:color="auto"/>
              <w:left w:val="single" w:sz="18" w:space="0" w:color="auto"/>
              <w:bottom w:val="single" w:sz="18" w:space="0" w:color="auto"/>
            </w:tcBorders>
            <w:shd w:val="clear" w:color="auto" w:fill="auto"/>
          </w:tcPr>
          <w:p w14:paraId="3C019818" w14:textId="77777777" w:rsidR="00DE7493" w:rsidRDefault="00DE7493" w:rsidP="00D30890">
            <w:pPr>
              <w:cnfStyle w:val="000000010000" w:firstRow="0" w:lastRow="0" w:firstColumn="0" w:lastColumn="0" w:oddVBand="0" w:evenVBand="0" w:oddHBand="0" w:evenHBand="1" w:firstRowFirstColumn="0" w:firstRowLastColumn="0" w:lastRowFirstColumn="0" w:lastRowLastColumn="0"/>
              <w:rPr>
                <w:rFonts w:cstheme="minorHAnsi"/>
                <w:sz w:val="28"/>
                <w:szCs w:val="28"/>
              </w:rPr>
            </w:pPr>
            <w:r w:rsidRPr="00C21B6F">
              <w:rPr>
                <w:rFonts w:cstheme="minorHAnsi"/>
                <w:sz w:val="28"/>
                <w:szCs w:val="28"/>
              </w:rPr>
              <w:t>Develop and operationalize a building renovation design specification with environm</w:t>
            </w:r>
            <w:r>
              <w:rPr>
                <w:rFonts w:cstheme="minorHAnsi"/>
                <w:sz w:val="28"/>
                <w:szCs w:val="28"/>
              </w:rPr>
              <w:t>ental sustainability parameters.</w:t>
            </w:r>
          </w:p>
        </w:tc>
      </w:tr>
      <w:tr w:rsidR="00DE7493" w14:paraId="689F27F3" w14:textId="77777777" w:rsidTr="00D308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vMerge w:val="restart"/>
            <w:tcBorders>
              <w:top w:val="single" w:sz="18" w:space="0" w:color="auto"/>
              <w:bottom w:val="single" w:sz="12" w:space="0" w:color="auto"/>
              <w:right w:val="single" w:sz="18" w:space="0" w:color="auto"/>
            </w:tcBorders>
            <w:shd w:val="clear" w:color="auto" w:fill="C6D9F1" w:themeFill="text2" w:themeFillTint="33"/>
            <w:vAlign w:val="center"/>
          </w:tcPr>
          <w:p w14:paraId="11B41651" w14:textId="77777777" w:rsidR="00DE7493" w:rsidRPr="00F326FC" w:rsidRDefault="00DE7493" w:rsidP="00D30890">
            <w:pPr>
              <w:rPr>
                <w:color w:val="000000" w:themeColor="text1"/>
                <w:sz w:val="28"/>
                <w:szCs w:val="28"/>
              </w:rPr>
            </w:pPr>
            <w:r w:rsidRPr="00F326FC">
              <w:rPr>
                <w:color w:val="000000" w:themeColor="text1"/>
                <w:sz w:val="28"/>
                <w:szCs w:val="28"/>
              </w:rPr>
              <w:t>Cleaner Transportation</w:t>
            </w:r>
          </w:p>
        </w:tc>
        <w:tc>
          <w:tcPr>
            <w:tcW w:w="8532" w:type="dxa"/>
            <w:tcBorders>
              <w:top w:val="single" w:sz="18" w:space="0" w:color="auto"/>
              <w:left w:val="single" w:sz="18" w:space="0" w:color="auto"/>
              <w:bottom w:val="single" w:sz="12" w:space="0" w:color="auto"/>
            </w:tcBorders>
            <w:shd w:val="clear" w:color="auto" w:fill="C6D9F1" w:themeFill="text2" w:themeFillTint="33"/>
          </w:tcPr>
          <w:p w14:paraId="44C8DBA5" w14:textId="77777777" w:rsidR="00DE7493" w:rsidRPr="00AE1CC8" w:rsidRDefault="00DE7493" w:rsidP="00D30890">
            <w:pPr>
              <w:cnfStyle w:val="000000100000" w:firstRow="0" w:lastRow="0" w:firstColumn="0" w:lastColumn="0" w:oddVBand="0" w:evenVBand="0" w:oddHBand="1" w:evenHBand="0" w:firstRowFirstColumn="0" w:firstRowLastColumn="0" w:lastRowFirstColumn="0" w:lastRowLastColumn="0"/>
              <w:rPr>
                <w:sz w:val="28"/>
                <w:szCs w:val="28"/>
              </w:rPr>
            </w:pPr>
            <w:r w:rsidRPr="00AE1CC8">
              <w:rPr>
                <w:sz w:val="28"/>
                <w:szCs w:val="28"/>
              </w:rPr>
              <w:t>Reduce single-occupant vehicle (SOV) arrivals to DHMC by 10%.</w:t>
            </w:r>
          </w:p>
        </w:tc>
      </w:tr>
      <w:tr w:rsidR="00DE7493" w14:paraId="22DEC780" w14:textId="77777777" w:rsidTr="00D3089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vMerge/>
            <w:tcBorders>
              <w:top w:val="single" w:sz="12" w:space="0" w:color="auto"/>
              <w:bottom w:val="single" w:sz="12" w:space="0" w:color="auto"/>
              <w:right w:val="single" w:sz="18" w:space="0" w:color="auto"/>
            </w:tcBorders>
            <w:shd w:val="clear" w:color="auto" w:fill="C6D9F1" w:themeFill="text2" w:themeFillTint="33"/>
            <w:vAlign w:val="center"/>
          </w:tcPr>
          <w:p w14:paraId="3CCC7B68" w14:textId="77777777" w:rsidR="00DE7493" w:rsidRPr="00F326FC" w:rsidRDefault="00DE7493" w:rsidP="00D30890">
            <w:pPr>
              <w:rPr>
                <w:color w:val="000000" w:themeColor="text1"/>
                <w:sz w:val="28"/>
                <w:szCs w:val="28"/>
              </w:rPr>
            </w:pPr>
          </w:p>
        </w:tc>
        <w:tc>
          <w:tcPr>
            <w:tcW w:w="8532" w:type="dxa"/>
            <w:tcBorders>
              <w:top w:val="single" w:sz="12" w:space="0" w:color="auto"/>
              <w:left w:val="single" w:sz="18" w:space="0" w:color="auto"/>
              <w:bottom w:val="single" w:sz="12" w:space="0" w:color="auto"/>
            </w:tcBorders>
            <w:shd w:val="clear" w:color="auto" w:fill="C6D9F1" w:themeFill="text2" w:themeFillTint="33"/>
          </w:tcPr>
          <w:p w14:paraId="0BA70E5D" w14:textId="77777777" w:rsidR="00DE7493" w:rsidRPr="00AE1CC8" w:rsidRDefault="00DE7493" w:rsidP="00D30890">
            <w:pPr>
              <w:cnfStyle w:val="000000010000" w:firstRow="0" w:lastRow="0" w:firstColumn="0" w:lastColumn="0" w:oddVBand="0" w:evenVBand="0" w:oddHBand="0" w:evenHBand="1" w:firstRowFirstColumn="0" w:firstRowLastColumn="0" w:lastRowFirstColumn="0" w:lastRowLastColumn="0"/>
              <w:rPr>
                <w:sz w:val="28"/>
                <w:szCs w:val="28"/>
              </w:rPr>
            </w:pPr>
            <w:r>
              <w:rPr>
                <w:sz w:val="28"/>
                <w:szCs w:val="28"/>
              </w:rPr>
              <w:t xml:space="preserve">Decrease emissions from employee-owned vehicles by having </w:t>
            </w:r>
            <w:r w:rsidRPr="00AE1CC8">
              <w:rPr>
                <w:sz w:val="28"/>
                <w:szCs w:val="28"/>
              </w:rPr>
              <w:t xml:space="preserve">15% of </w:t>
            </w:r>
            <w:r>
              <w:rPr>
                <w:sz w:val="28"/>
                <w:szCs w:val="28"/>
              </w:rPr>
              <w:t>employees</w:t>
            </w:r>
            <w:r w:rsidRPr="00AE1CC8">
              <w:rPr>
                <w:sz w:val="28"/>
                <w:szCs w:val="28"/>
              </w:rPr>
              <w:t xml:space="preserve"> </w:t>
            </w:r>
            <w:r>
              <w:rPr>
                <w:sz w:val="28"/>
                <w:szCs w:val="28"/>
              </w:rPr>
              <w:t xml:space="preserve">switch </w:t>
            </w:r>
            <w:r w:rsidRPr="00AE1CC8">
              <w:rPr>
                <w:sz w:val="28"/>
                <w:szCs w:val="28"/>
              </w:rPr>
              <w:t xml:space="preserve">to </w:t>
            </w:r>
            <w:r>
              <w:rPr>
                <w:sz w:val="28"/>
                <w:szCs w:val="28"/>
              </w:rPr>
              <w:t xml:space="preserve">a </w:t>
            </w:r>
            <w:r w:rsidRPr="00AE1CC8">
              <w:rPr>
                <w:sz w:val="28"/>
                <w:szCs w:val="28"/>
              </w:rPr>
              <w:t>vehicle with an improved emissions profile.</w:t>
            </w:r>
          </w:p>
        </w:tc>
      </w:tr>
      <w:tr w:rsidR="00DE7493" w14:paraId="4E1FB86F" w14:textId="77777777" w:rsidTr="00D308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vMerge/>
            <w:tcBorders>
              <w:top w:val="single" w:sz="12" w:space="0" w:color="auto"/>
              <w:bottom w:val="single" w:sz="12" w:space="0" w:color="auto"/>
              <w:right w:val="single" w:sz="18" w:space="0" w:color="auto"/>
            </w:tcBorders>
            <w:shd w:val="clear" w:color="auto" w:fill="C6D9F1" w:themeFill="text2" w:themeFillTint="33"/>
            <w:vAlign w:val="center"/>
          </w:tcPr>
          <w:p w14:paraId="57983870" w14:textId="77777777" w:rsidR="00DE7493" w:rsidRPr="00F326FC" w:rsidRDefault="00DE7493" w:rsidP="00D30890">
            <w:pPr>
              <w:rPr>
                <w:color w:val="000000" w:themeColor="text1"/>
                <w:sz w:val="28"/>
                <w:szCs w:val="28"/>
              </w:rPr>
            </w:pPr>
          </w:p>
        </w:tc>
        <w:tc>
          <w:tcPr>
            <w:tcW w:w="8532" w:type="dxa"/>
            <w:tcBorders>
              <w:top w:val="single" w:sz="12" w:space="0" w:color="auto"/>
              <w:left w:val="single" w:sz="18" w:space="0" w:color="auto"/>
              <w:bottom w:val="single" w:sz="12" w:space="0" w:color="auto"/>
            </w:tcBorders>
            <w:shd w:val="clear" w:color="auto" w:fill="C6D9F1" w:themeFill="text2" w:themeFillTint="33"/>
          </w:tcPr>
          <w:p w14:paraId="05BA10B6" w14:textId="77777777" w:rsidR="00DE7493" w:rsidRDefault="00DE7493" w:rsidP="00D30890">
            <w:pPr>
              <w:cnfStyle w:val="000000100000" w:firstRow="0" w:lastRow="0" w:firstColumn="0" w:lastColumn="0" w:oddVBand="0" w:evenVBand="0" w:oddHBand="1" w:evenHBand="0" w:firstRowFirstColumn="0" w:firstRowLastColumn="0" w:lastRowFirstColumn="0" w:lastRowLastColumn="0"/>
              <w:rPr>
                <w:sz w:val="28"/>
                <w:szCs w:val="28"/>
              </w:rPr>
            </w:pPr>
            <w:r w:rsidRPr="00DE3513">
              <w:rPr>
                <w:sz w:val="28"/>
                <w:szCs w:val="28"/>
              </w:rPr>
              <w:t xml:space="preserve">Install </w:t>
            </w:r>
            <w:r>
              <w:rPr>
                <w:sz w:val="28"/>
                <w:szCs w:val="28"/>
              </w:rPr>
              <w:t>additional</w:t>
            </w:r>
            <w:r w:rsidRPr="00DE3513">
              <w:rPr>
                <w:sz w:val="28"/>
                <w:szCs w:val="28"/>
              </w:rPr>
              <w:t xml:space="preserve"> charging stations to meet or exceed the needs of all staff, patients, </w:t>
            </w:r>
            <w:r>
              <w:rPr>
                <w:sz w:val="28"/>
                <w:szCs w:val="28"/>
              </w:rPr>
              <w:t xml:space="preserve">and </w:t>
            </w:r>
            <w:r w:rsidRPr="00DE3513">
              <w:rPr>
                <w:sz w:val="28"/>
                <w:szCs w:val="28"/>
              </w:rPr>
              <w:t>visitors driving electric vehicles</w:t>
            </w:r>
            <w:r>
              <w:rPr>
                <w:sz w:val="28"/>
                <w:szCs w:val="28"/>
              </w:rPr>
              <w:t>.</w:t>
            </w:r>
          </w:p>
        </w:tc>
      </w:tr>
      <w:tr w:rsidR="00DE7493" w14:paraId="074F2D24" w14:textId="77777777" w:rsidTr="00D3089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vMerge/>
            <w:tcBorders>
              <w:top w:val="single" w:sz="12" w:space="0" w:color="auto"/>
              <w:bottom w:val="single" w:sz="18" w:space="0" w:color="auto"/>
              <w:right w:val="single" w:sz="18" w:space="0" w:color="auto"/>
            </w:tcBorders>
            <w:shd w:val="clear" w:color="auto" w:fill="C6D9F1" w:themeFill="text2" w:themeFillTint="33"/>
            <w:vAlign w:val="center"/>
          </w:tcPr>
          <w:p w14:paraId="31F35B82" w14:textId="77777777" w:rsidR="00DE7493" w:rsidRPr="00F326FC" w:rsidRDefault="00DE7493" w:rsidP="00D30890">
            <w:pPr>
              <w:rPr>
                <w:color w:val="000000" w:themeColor="text1"/>
                <w:sz w:val="28"/>
                <w:szCs w:val="28"/>
              </w:rPr>
            </w:pPr>
          </w:p>
        </w:tc>
        <w:tc>
          <w:tcPr>
            <w:tcW w:w="8532" w:type="dxa"/>
            <w:tcBorders>
              <w:top w:val="single" w:sz="12" w:space="0" w:color="auto"/>
              <w:left w:val="single" w:sz="18" w:space="0" w:color="auto"/>
              <w:bottom w:val="single" w:sz="18" w:space="0" w:color="auto"/>
            </w:tcBorders>
            <w:shd w:val="clear" w:color="auto" w:fill="C6D9F1" w:themeFill="text2" w:themeFillTint="33"/>
          </w:tcPr>
          <w:p w14:paraId="600A5441" w14:textId="77777777" w:rsidR="00DE7493" w:rsidRDefault="00DE7493" w:rsidP="00D30890">
            <w:pPr>
              <w:cnfStyle w:val="000000010000" w:firstRow="0" w:lastRow="0" w:firstColumn="0" w:lastColumn="0" w:oddVBand="0" w:evenVBand="0" w:oddHBand="0" w:evenHBand="1" w:firstRowFirstColumn="0" w:firstRowLastColumn="0" w:lastRowFirstColumn="0" w:lastRowLastColumn="0"/>
              <w:rPr>
                <w:sz w:val="28"/>
                <w:szCs w:val="28"/>
              </w:rPr>
            </w:pPr>
            <w:r w:rsidRPr="00DE3513">
              <w:rPr>
                <w:sz w:val="28"/>
                <w:szCs w:val="28"/>
              </w:rPr>
              <w:t>Replace leased vehicle fleet with the highest fuel efficiency and lowest emission profile available for that fleet type</w:t>
            </w:r>
            <w:r>
              <w:rPr>
                <w:sz w:val="28"/>
                <w:szCs w:val="28"/>
              </w:rPr>
              <w:t>.</w:t>
            </w:r>
          </w:p>
        </w:tc>
      </w:tr>
      <w:tr w:rsidR="00DE7493" w14:paraId="632154B8" w14:textId="77777777" w:rsidTr="00D308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vMerge w:val="restart"/>
            <w:tcBorders>
              <w:top w:val="single" w:sz="18" w:space="0" w:color="auto"/>
              <w:bottom w:val="single" w:sz="12" w:space="0" w:color="auto"/>
              <w:right w:val="single" w:sz="18" w:space="0" w:color="auto"/>
            </w:tcBorders>
            <w:shd w:val="clear" w:color="auto" w:fill="FFFFFF" w:themeFill="background1"/>
            <w:vAlign w:val="center"/>
          </w:tcPr>
          <w:p w14:paraId="0383644C" w14:textId="77777777" w:rsidR="00DE7493" w:rsidRPr="00F326FC" w:rsidRDefault="00DE7493" w:rsidP="00D30890">
            <w:pPr>
              <w:rPr>
                <w:color w:val="000000" w:themeColor="text1"/>
                <w:sz w:val="28"/>
                <w:szCs w:val="28"/>
              </w:rPr>
            </w:pPr>
            <w:r w:rsidRPr="00F326FC">
              <w:rPr>
                <w:color w:val="000000" w:themeColor="text1"/>
                <w:sz w:val="28"/>
                <w:szCs w:val="28"/>
              </w:rPr>
              <w:t>Smarter Purchasing</w:t>
            </w:r>
          </w:p>
        </w:tc>
        <w:tc>
          <w:tcPr>
            <w:tcW w:w="8532" w:type="dxa"/>
            <w:tcBorders>
              <w:top w:val="single" w:sz="18" w:space="0" w:color="auto"/>
              <w:left w:val="single" w:sz="18" w:space="0" w:color="auto"/>
              <w:bottom w:val="single" w:sz="12" w:space="0" w:color="auto"/>
            </w:tcBorders>
            <w:shd w:val="clear" w:color="auto" w:fill="FFFFFF" w:themeFill="background1"/>
          </w:tcPr>
          <w:p w14:paraId="62AB5D26" w14:textId="77777777" w:rsidR="00DE7493" w:rsidRPr="00C51735" w:rsidRDefault="00DE7493" w:rsidP="00D30890">
            <w:pP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Centralize</w:t>
            </w:r>
            <w:r w:rsidRPr="00C51735">
              <w:rPr>
                <w:sz w:val="28"/>
                <w:szCs w:val="28"/>
              </w:rPr>
              <w:t xml:space="preserve"> purchasing policies and procedures</w:t>
            </w:r>
            <w:r>
              <w:rPr>
                <w:sz w:val="28"/>
                <w:szCs w:val="28"/>
              </w:rPr>
              <w:t xml:space="preserve"> </w:t>
            </w:r>
            <w:r w:rsidRPr="00C51735">
              <w:rPr>
                <w:sz w:val="28"/>
                <w:szCs w:val="28"/>
              </w:rPr>
              <w:t xml:space="preserve">to support </w:t>
            </w:r>
            <w:r>
              <w:rPr>
                <w:sz w:val="28"/>
                <w:szCs w:val="28"/>
              </w:rPr>
              <w:t xml:space="preserve">effective </w:t>
            </w:r>
            <w:r w:rsidRPr="00C51735">
              <w:rPr>
                <w:sz w:val="28"/>
                <w:szCs w:val="28"/>
              </w:rPr>
              <w:t>environmentally preferable purchasing (EPP)</w:t>
            </w:r>
            <w:r>
              <w:rPr>
                <w:sz w:val="28"/>
                <w:szCs w:val="28"/>
              </w:rPr>
              <w:t>.</w:t>
            </w:r>
          </w:p>
        </w:tc>
      </w:tr>
      <w:tr w:rsidR="00DE7493" w14:paraId="53401B06" w14:textId="77777777" w:rsidTr="00D3089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vMerge/>
            <w:tcBorders>
              <w:top w:val="single" w:sz="12" w:space="0" w:color="auto"/>
              <w:bottom w:val="single" w:sz="12" w:space="0" w:color="auto"/>
              <w:right w:val="single" w:sz="18" w:space="0" w:color="auto"/>
            </w:tcBorders>
            <w:shd w:val="clear" w:color="auto" w:fill="FFFFFF" w:themeFill="background1"/>
            <w:vAlign w:val="center"/>
          </w:tcPr>
          <w:p w14:paraId="10BBEF7D" w14:textId="77777777" w:rsidR="00DE7493" w:rsidRPr="00F326FC" w:rsidRDefault="00DE7493" w:rsidP="00D30890">
            <w:pPr>
              <w:rPr>
                <w:color w:val="000000" w:themeColor="text1"/>
                <w:sz w:val="28"/>
                <w:szCs w:val="28"/>
              </w:rPr>
            </w:pPr>
          </w:p>
        </w:tc>
        <w:tc>
          <w:tcPr>
            <w:tcW w:w="8532" w:type="dxa"/>
            <w:tcBorders>
              <w:top w:val="single" w:sz="12" w:space="0" w:color="auto"/>
              <w:left w:val="single" w:sz="18" w:space="0" w:color="auto"/>
              <w:bottom w:val="single" w:sz="12" w:space="0" w:color="auto"/>
            </w:tcBorders>
            <w:shd w:val="clear" w:color="auto" w:fill="FFFFFF" w:themeFill="background1"/>
          </w:tcPr>
          <w:p w14:paraId="14DF3D51" w14:textId="77777777" w:rsidR="00DE7493" w:rsidRPr="00AE1CC8" w:rsidRDefault="00DE7493" w:rsidP="00D30890">
            <w:pPr>
              <w:cnfStyle w:val="000000010000" w:firstRow="0" w:lastRow="0" w:firstColumn="0" w:lastColumn="0" w:oddVBand="0" w:evenVBand="0" w:oddHBand="0" w:evenHBand="1" w:firstRowFirstColumn="0" w:firstRowLastColumn="0" w:lastRowFirstColumn="0" w:lastRowLastColumn="0"/>
              <w:rPr>
                <w:sz w:val="28"/>
                <w:szCs w:val="28"/>
              </w:rPr>
            </w:pPr>
            <w:r w:rsidRPr="00AE1CC8">
              <w:rPr>
                <w:sz w:val="28"/>
                <w:szCs w:val="28"/>
              </w:rPr>
              <w:t xml:space="preserve">Embed environmental criteria into all </w:t>
            </w:r>
            <w:r>
              <w:rPr>
                <w:sz w:val="28"/>
                <w:szCs w:val="28"/>
              </w:rPr>
              <w:t xml:space="preserve">standards, </w:t>
            </w:r>
            <w:r w:rsidRPr="00AE1CC8">
              <w:rPr>
                <w:sz w:val="28"/>
                <w:szCs w:val="28"/>
              </w:rPr>
              <w:t>contracts</w:t>
            </w:r>
            <w:r>
              <w:rPr>
                <w:sz w:val="28"/>
                <w:szCs w:val="28"/>
              </w:rPr>
              <w:t>, and requests for proposal</w:t>
            </w:r>
            <w:r w:rsidRPr="00AE1CC8">
              <w:rPr>
                <w:sz w:val="28"/>
                <w:szCs w:val="28"/>
              </w:rPr>
              <w:t xml:space="preserve"> </w:t>
            </w:r>
            <w:r>
              <w:rPr>
                <w:sz w:val="28"/>
                <w:szCs w:val="28"/>
              </w:rPr>
              <w:t xml:space="preserve">(RFP) </w:t>
            </w:r>
            <w:r w:rsidRPr="00AE1CC8">
              <w:rPr>
                <w:sz w:val="28"/>
                <w:szCs w:val="28"/>
              </w:rPr>
              <w:t>to prioritize environmentally preferable products.</w:t>
            </w:r>
          </w:p>
        </w:tc>
      </w:tr>
      <w:tr w:rsidR="00DE7493" w14:paraId="5FA81C83" w14:textId="77777777" w:rsidTr="00D308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vMerge/>
            <w:tcBorders>
              <w:top w:val="single" w:sz="12" w:space="0" w:color="auto"/>
              <w:bottom w:val="single" w:sz="12" w:space="0" w:color="auto"/>
              <w:right w:val="single" w:sz="18" w:space="0" w:color="auto"/>
            </w:tcBorders>
            <w:shd w:val="clear" w:color="auto" w:fill="FFFFFF" w:themeFill="background1"/>
            <w:vAlign w:val="center"/>
          </w:tcPr>
          <w:p w14:paraId="5D59A3C6" w14:textId="77777777" w:rsidR="00DE7493" w:rsidRPr="00F326FC" w:rsidRDefault="00DE7493" w:rsidP="00D30890">
            <w:pPr>
              <w:rPr>
                <w:color w:val="000000" w:themeColor="text1"/>
                <w:sz w:val="28"/>
                <w:szCs w:val="28"/>
              </w:rPr>
            </w:pPr>
          </w:p>
        </w:tc>
        <w:tc>
          <w:tcPr>
            <w:tcW w:w="8532" w:type="dxa"/>
            <w:tcBorders>
              <w:top w:val="single" w:sz="12" w:space="0" w:color="auto"/>
              <w:left w:val="single" w:sz="18" w:space="0" w:color="auto"/>
              <w:bottom w:val="single" w:sz="12" w:space="0" w:color="auto"/>
            </w:tcBorders>
            <w:shd w:val="clear" w:color="auto" w:fill="FFFFFF" w:themeFill="background1"/>
          </w:tcPr>
          <w:p w14:paraId="52ECC0AA" w14:textId="77777777" w:rsidR="00DE7493" w:rsidRPr="00AE1CC8" w:rsidRDefault="00DE7493" w:rsidP="00D30890">
            <w:pPr>
              <w:cnfStyle w:val="000000100000" w:firstRow="0" w:lastRow="0" w:firstColumn="0" w:lastColumn="0" w:oddVBand="0" w:evenVBand="0" w:oddHBand="1" w:evenHBand="0" w:firstRowFirstColumn="0" w:firstRowLastColumn="0" w:lastRowFirstColumn="0" w:lastRowLastColumn="0"/>
              <w:rPr>
                <w:sz w:val="28"/>
                <w:szCs w:val="28"/>
              </w:rPr>
            </w:pPr>
            <w:r w:rsidRPr="00AE1CC8">
              <w:rPr>
                <w:sz w:val="28"/>
                <w:szCs w:val="28"/>
              </w:rPr>
              <w:t>Eliminate persist</w:t>
            </w:r>
            <w:r>
              <w:rPr>
                <w:sz w:val="28"/>
                <w:szCs w:val="28"/>
              </w:rPr>
              <w:t xml:space="preserve">ent, </w:t>
            </w:r>
            <w:proofErr w:type="spellStart"/>
            <w:r>
              <w:rPr>
                <w:sz w:val="28"/>
                <w:szCs w:val="28"/>
              </w:rPr>
              <w:t>bioaccumulative</w:t>
            </w:r>
            <w:proofErr w:type="spellEnd"/>
            <w:r>
              <w:rPr>
                <w:sz w:val="28"/>
                <w:szCs w:val="28"/>
              </w:rPr>
              <w:t xml:space="preserve"> and toxic </w:t>
            </w:r>
            <w:r w:rsidRPr="00AE1CC8">
              <w:rPr>
                <w:sz w:val="28"/>
                <w:szCs w:val="28"/>
              </w:rPr>
              <w:t>chemicals from 95% of the annual purchases of freestanding furniture and medical furnishings.</w:t>
            </w:r>
          </w:p>
        </w:tc>
      </w:tr>
      <w:tr w:rsidR="00DE7493" w14:paraId="5F596DB7" w14:textId="77777777" w:rsidTr="00D3089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vMerge/>
            <w:tcBorders>
              <w:top w:val="single" w:sz="12" w:space="0" w:color="auto"/>
              <w:bottom w:val="single" w:sz="12" w:space="0" w:color="auto"/>
              <w:right w:val="single" w:sz="18" w:space="0" w:color="auto"/>
            </w:tcBorders>
            <w:shd w:val="clear" w:color="auto" w:fill="FFFFFF" w:themeFill="background1"/>
            <w:vAlign w:val="center"/>
          </w:tcPr>
          <w:p w14:paraId="4F5AB6DD" w14:textId="77777777" w:rsidR="00DE7493" w:rsidRPr="00F326FC" w:rsidRDefault="00DE7493" w:rsidP="00D30890">
            <w:pPr>
              <w:rPr>
                <w:color w:val="000000" w:themeColor="text1"/>
                <w:sz w:val="28"/>
                <w:szCs w:val="28"/>
              </w:rPr>
            </w:pPr>
          </w:p>
        </w:tc>
        <w:tc>
          <w:tcPr>
            <w:tcW w:w="8532" w:type="dxa"/>
            <w:tcBorders>
              <w:top w:val="single" w:sz="12" w:space="0" w:color="auto"/>
              <w:left w:val="single" w:sz="18" w:space="0" w:color="auto"/>
              <w:bottom w:val="single" w:sz="12" w:space="0" w:color="auto"/>
            </w:tcBorders>
            <w:shd w:val="clear" w:color="auto" w:fill="FFFFFF" w:themeFill="background1"/>
          </w:tcPr>
          <w:p w14:paraId="66261DFD" w14:textId="77777777" w:rsidR="00DE7493" w:rsidRPr="00D03547" w:rsidRDefault="00DE7493" w:rsidP="00D30890">
            <w:pPr>
              <w:cnfStyle w:val="000000010000" w:firstRow="0" w:lastRow="0" w:firstColumn="0" w:lastColumn="0" w:oddVBand="0" w:evenVBand="0" w:oddHBand="0" w:evenHBand="1" w:firstRowFirstColumn="0" w:firstRowLastColumn="0" w:lastRowFirstColumn="0" w:lastRowLastColumn="0"/>
              <w:rPr>
                <w:sz w:val="28"/>
                <w:szCs w:val="28"/>
              </w:rPr>
            </w:pPr>
            <w:r>
              <w:rPr>
                <w:sz w:val="28"/>
                <w:szCs w:val="28"/>
              </w:rPr>
              <w:t>Identify and substitute s</w:t>
            </w:r>
            <w:r w:rsidRPr="00C85879">
              <w:rPr>
                <w:sz w:val="28"/>
                <w:szCs w:val="28"/>
              </w:rPr>
              <w:t>afer product alternatives for 10 products with chemicals of concern that a</w:t>
            </w:r>
            <w:r>
              <w:rPr>
                <w:sz w:val="28"/>
                <w:szCs w:val="28"/>
              </w:rPr>
              <w:t>re pervasive in our facilities.</w:t>
            </w:r>
          </w:p>
        </w:tc>
      </w:tr>
      <w:tr w:rsidR="00DE7493" w14:paraId="644B9491" w14:textId="77777777" w:rsidTr="00D308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vMerge/>
            <w:tcBorders>
              <w:top w:val="single" w:sz="12" w:space="0" w:color="auto"/>
              <w:bottom w:val="single" w:sz="18" w:space="0" w:color="auto"/>
              <w:right w:val="single" w:sz="18" w:space="0" w:color="auto"/>
            </w:tcBorders>
            <w:shd w:val="clear" w:color="auto" w:fill="FFFFFF" w:themeFill="background1"/>
            <w:vAlign w:val="center"/>
          </w:tcPr>
          <w:p w14:paraId="04D2FA86" w14:textId="77777777" w:rsidR="00DE7493" w:rsidRPr="00F326FC" w:rsidRDefault="00DE7493" w:rsidP="00D30890">
            <w:pPr>
              <w:rPr>
                <w:color w:val="000000" w:themeColor="text1"/>
                <w:sz w:val="28"/>
                <w:szCs w:val="28"/>
              </w:rPr>
            </w:pPr>
          </w:p>
        </w:tc>
        <w:tc>
          <w:tcPr>
            <w:tcW w:w="8532" w:type="dxa"/>
            <w:tcBorders>
              <w:top w:val="single" w:sz="12" w:space="0" w:color="auto"/>
              <w:left w:val="single" w:sz="18" w:space="0" w:color="auto"/>
              <w:bottom w:val="single" w:sz="18" w:space="0" w:color="auto"/>
            </w:tcBorders>
            <w:shd w:val="clear" w:color="auto" w:fill="FFFFFF" w:themeFill="background1"/>
          </w:tcPr>
          <w:p w14:paraId="2CE18F84" w14:textId="77777777" w:rsidR="00DE7493" w:rsidRPr="00AE1CC8" w:rsidRDefault="00DE7493" w:rsidP="00D30890">
            <w:pPr>
              <w:cnfStyle w:val="000000100000" w:firstRow="0" w:lastRow="0" w:firstColumn="0" w:lastColumn="0" w:oddVBand="0" w:evenVBand="0" w:oddHBand="1" w:evenHBand="0" w:firstRowFirstColumn="0" w:firstRowLastColumn="0" w:lastRowFirstColumn="0" w:lastRowLastColumn="0"/>
              <w:rPr>
                <w:sz w:val="28"/>
                <w:szCs w:val="28"/>
              </w:rPr>
            </w:pPr>
            <w:r w:rsidRPr="00D03547">
              <w:rPr>
                <w:sz w:val="28"/>
                <w:szCs w:val="28"/>
              </w:rPr>
              <w:t>Standardize all surgical instruments and supplies by case type, with a transparent exception process, for all procedural areas</w:t>
            </w:r>
            <w:r>
              <w:rPr>
                <w:sz w:val="28"/>
                <w:szCs w:val="28"/>
              </w:rPr>
              <w:t xml:space="preserve"> throughout D-H.</w:t>
            </w:r>
          </w:p>
        </w:tc>
      </w:tr>
    </w:tbl>
    <w:tbl>
      <w:tblPr>
        <w:tblStyle w:val="MediumShading1-Accent11"/>
        <w:tblW w:w="10530" w:type="dxa"/>
        <w:tblInd w:w="-113" w:type="dxa"/>
        <w:tblBorders>
          <w:top w:val="single" w:sz="18" w:space="0" w:color="auto"/>
          <w:left w:val="single" w:sz="18" w:space="0" w:color="auto"/>
          <w:bottom w:val="single" w:sz="18" w:space="0" w:color="auto"/>
          <w:right w:val="single" w:sz="18" w:space="0" w:color="auto"/>
          <w:insideH w:val="single" w:sz="12" w:space="0" w:color="auto"/>
          <w:insideV w:val="single" w:sz="18" w:space="0" w:color="auto"/>
        </w:tblBorders>
        <w:tblLook w:val="04A0" w:firstRow="1" w:lastRow="0" w:firstColumn="1" w:lastColumn="0" w:noHBand="0" w:noVBand="1"/>
      </w:tblPr>
      <w:tblGrid>
        <w:gridCol w:w="1530"/>
        <w:gridCol w:w="9000"/>
      </w:tblGrid>
      <w:tr w:rsidR="00DE7493" w14:paraId="5DE3EF52" w14:textId="77777777" w:rsidTr="00D3089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vMerge w:val="restart"/>
            <w:tcBorders>
              <w:top w:val="single" w:sz="18" w:space="0" w:color="auto"/>
              <w:left w:val="single" w:sz="18" w:space="0" w:color="auto"/>
              <w:bottom w:val="single" w:sz="18" w:space="0" w:color="auto"/>
              <w:right w:val="single" w:sz="18" w:space="0" w:color="auto"/>
            </w:tcBorders>
            <w:shd w:val="clear" w:color="auto" w:fill="C6D9F1" w:themeFill="text2" w:themeFillTint="33"/>
            <w:vAlign w:val="center"/>
          </w:tcPr>
          <w:p w14:paraId="428F61CE" w14:textId="77777777" w:rsidR="00DE7493" w:rsidRPr="00F326FC" w:rsidRDefault="00DE7493" w:rsidP="00D30890">
            <w:pPr>
              <w:rPr>
                <w:b w:val="0"/>
                <w:bCs w:val="0"/>
                <w:color w:val="000000" w:themeColor="text1"/>
                <w:sz w:val="28"/>
                <w:szCs w:val="28"/>
              </w:rPr>
            </w:pPr>
            <w:r w:rsidRPr="00F326FC">
              <w:rPr>
                <w:color w:val="000000" w:themeColor="text1"/>
                <w:sz w:val="28"/>
                <w:szCs w:val="28"/>
              </w:rPr>
              <w:lastRenderedPageBreak/>
              <w:t>Healthier Food</w:t>
            </w:r>
          </w:p>
          <w:p w14:paraId="11A80197" w14:textId="77777777" w:rsidR="00DE7493" w:rsidRPr="00F326FC" w:rsidRDefault="00DE7493" w:rsidP="00D30890">
            <w:pPr>
              <w:rPr>
                <w:color w:val="000000" w:themeColor="text1"/>
                <w:sz w:val="28"/>
                <w:szCs w:val="28"/>
              </w:rPr>
            </w:pPr>
          </w:p>
        </w:tc>
        <w:tc>
          <w:tcPr>
            <w:tcW w:w="9000" w:type="dxa"/>
            <w:tcBorders>
              <w:top w:val="single" w:sz="18" w:space="0" w:color="auto"/>
              <w:left w:val="single" w:sz="18" w:space="0" w:color="auto"/>
              <w:bottom w:val="single" w:sz="2" w:space="0" w:color="auto"/>
              <w:right w:val="single" w:sz="18" w:space="0" w:color="auto"/>
            </w:tcBorders>
            <w:shd w:val="clear" w:color="auto" w:fill="C6D9F1" w:themeFill="text2" w:themeFillTint="33"/>
          </w:tcPr>
          <w:p w14:paraId="7551CAF4" w14:textId="77777777" w:rsidR="00DE7493" w:rsidRPr="00AE1CC8" w:rsidRDefault="00DE7493" w:rsidP="00D30890">
            <w:pPr>
              <w:cnfStyle w:val="100000000000" w:firstRow="1" w:lastRow="0" w:firstColumn="0" w:lastColumn="0" w:oddVBand="0" w:evenVBand="0" w:oddHBand="0" w:evenHBand="0" w:firstRowFirstColumn="0" w:firstRowLastColumn="0" w:lastRowFirstColumn="0" w:lastRowLastColumn="0"/>
              <w:rPr>
                <w:sz w:val="28"/>
                <w:szCs w:val="28"/>
              </w:rPr>
            </w:pPr>
            <w:r w:rsidRPr="009A1CA3">
              <w:rPr>
                <w:rFonts w:cstheme="minorHAnsi"/>
                <w:b w:val="0"/>
                <w:bCs w:val="0"/>
                <w:color w:val="auto"/>
                <w:sz w:val="28"/>
                <w:szCs w:val="28"/>
              </w:rPr>
              <w:t>Increase local and/or certified sustainable food purchases to 35% of total food purchases.</w:t>
            </w:r>
          </w:p>
        </w:tc>
      </w:tr>
      <w:tr w:rsidR="00DE7493" w14:paraId="6E5F0049" w14:textId="77777777" w:rsidTr="00D308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vMerge/>
            <w:tcBorders>
              <w:top w:val="single" w:sz="18" w:space="0" w:color="auto"/>
              <w:bottom w:val="single" w:sz="18" w:space="0" w:color="auto"/>
              <w:right w:val="single" w:sz="18" w:space="0" w:color="auto"/>
            </w:tcBorders>
            <w:shd w:val="clear" w:color="auto" w:fill="C6D9F1" w:themeFill="text2" w:themeFillTint="33"/>
            <w:vAlign w:val="center"/>
          </w:tcPr>
          <w:p w14:paraId="0C610039" w14:textId="77777777" w:rsidR="00DE7493" w:rsidRPr="00F326FC" w:rsidRDefault="00DE7493" w:rsidP="00D30890">
            <w:pPr>
              <w:rPr>
                <w:color w:val="000000" w:themeColor="text1"/>
                <w:sz w:val="28"/>
                <w:szCs w:val="28"/>
              </w:rPr>
            </w:pPr>
          </w:p>
        </w:tc>
        <w:tc>
          <w:tcPr>
            <w:tcW w:w="9000" w:type="dxa"/>
            <w:tcBorders>
              <w:top w:val="single" w:sz="2" w:space="0" w:color="auto"/>
              <w:left w:val="single" w:sz="18" w:space="0" w:color="auto"/>
              <w:bottom w:val="single" w:sz="2" w:space="0" w:color="auto"/>
              <w:right w:val="single" w:sz="18" w:space="0" w:color="auto"/>
            </w:tcBorders>
            <w:shd w:val="clear" w:color="auto" w:fill="C6D9F1" w:themeFill="text2" w:themeFillTint="33"/>
          </w:tcPr>
          <w:p w14:paraId="00523F9C" w14:textId="77777777" w:rsidR="00DE7493" w:rsidRDefault="00DE7493" w:rsidP="00D30890">
            <w:pPr>
              <w:cnfStyle w:val="000000100000" w:firstRow="0" w:lastRow="0" w:firstColumn="0" w:lastColumn="0" w:oddVBand="0" w:evenVBand="0" w:oddHBand="1" w:evenHBand="0" w:firstRowFirstColumn="0" w:firstRowLastColumn="0" w:lastRowFirstColumn="0" w:lastRowLastColumn="0"/>
              <w:rPr>
                <w:rFonts w:cstheme="minorHAnsi"/>
                <w:sz w:val="28"/>
                <w:szCs w:val="28"/>
              </w:rPr>
            </w:pPr>
            <w:r>
              <w:rPr>
                <w:rFonts w:cstheme="minorHAnsi"/>
                <w:sz w:val="28"/>
                <w:szCs w:val="28"/>
              </w:rPr>
              <w:t>Increase l</w:t>
            </w:r>
            <w:r w:rsidRPr="001850E5">
              <w:rPr>
                <w:rFonts w:cstheme="minorHAnsi"/>
                <w:sz w:val="28"/>
                <w:szCs w:val="28"/>
              </w:rPr>
              <w:t xml:space="preserve">ocal produce purchases </w:t>
            </w:r>
            <w:r>
              <w:rPr>
                <w:rFonts w:cstheme="minorHAnsi"/>
                <w:sz w:val="28"/>
                <w:szCs w:val="28"/>
              </w:rPr>
              <w:t>to</w:t>
            </w:r>
            <w:r w:rsidRPr="001850E5">
              <w:rPr>
                <w:rFonts w:cstheme="minorHAnsi"/>
                <w:sz w:val="28"/>
                <w:szCs w:val="28"/>
              </w:rPr>
              <w:t xml:space="preserve"> 15% of overall produce purchases</w:t>
            </w:r>
            <w:r>
              <w:rPr>
                <w:rFonts w:cstheme="minorHAnsi"/>
                <w:sz w:val="28"/>
                <w:szCs w:val="28"/>
              </w:rPr>
              <w:t>.</w:t>
            </w:r>
          </w:p>
        </w:tc>
      </w:tr>
      <w:tr w:rsidR="00DE7493" w14:paraId="3FF5DF40" w14:textId="77777777" w:rsidTr="00D3089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vMerge/>
            <w:tcBorders>
              <w:top w:val="single" w:sz="18" w:space="0" w:color="auto"/>
              <w:bottom w:val="single" w:sz="18" w:space="0" w:color="auto"/>
              <w:right w:val="single" w:sz="18" w:space="0" w:color="auto"/>
            </w:tcBorders>
            <w:shd w:val="clear" w:color="auto" w:fill="C6D9F1" w:themeFill="text2" w:themeFillTint="33"/>
            <w:vAlign w:val="center"/>
          </w:tcPr>
          <w:p w14:paraId="4D9AEEB3" w14:textId="77777777" w:rsidR="00DE7493" w:rsidRPr="00F326FC" w:rsidRDefault="00DE7493" w:rsidP="00D30890">
            <w:pPr>
              <w:rPr>
                <w:color w:val="000000" w:themeColor="text1"/>
                <w:sz w:val="28"/>
                <w:szCs w:val="28"/>
              </w:rPr>
            </w:pPr>
          </w:p>
        </w:tc>
        <w:tc>
          <w:tcPr>
            <w:tcW w:w="9000" w:type="dxa"/>
            <w:tcBorders>
              <w:top w:val="single" w:sz="2" w:space="0" w:color="auto"/>
              <w:left w:val="single" w:sz="18" w:space="0" w:color="auto"/>
              <w:bottom w:val="single" w:sz="12" w:space="0" w:color="auto"/>
            </w:tcBorders>
            <w:shd w:val="clear" w:color="auto" w:fill="C6D9F1" w:themeFill="text2" w:themeFillTint="33"/>
          </w:tcPr>
          <w:p w14:paraId="4BC42CC2" w14:textId="77777777" w:rsidR="00DE7493" w:rsidRDefault="00DE7493" w:rsidP="00D30890">
            <w:pPr>
              <w:cnfStyle w:val="000000010000" w:firstRow="0" w:lastRow="0" w:firstColumn="0" w:lastColumn="0" w:oddVBand="0" w:evenVBand="0" w:oddHBand="0" w:evenHBand="1" w:firstRowFirstColumn="0" w:firstRowLastColumn="0" w:lastRowFirstColumn="0" w:lastRowLastColumn="0"/>
              <w:rPr>
                <w:rFonts w:cstheme="minorHAnsi"/>
                <w:sz w:val="28"/>
                <w:szCs w:val="28"/>
              </w:rPr>
            </w:pPr>
            <w:r>
              <w:rPr>
                <w:rFonts w:cstheme="minorHAnsi"/>
                <w:sz w:val="28"/>
                <w:szCs w:val="28"/>
              </w:rPr>
              <w:t xml:space="preserve">Increase purchases of seafood </w:t>
            </w:r>
            <w:r w:rsidRPr="001850E5">
              <w:rPr>
                <w:rFonts w:cstheme="minorHAnsi"/>
                <w:sz w:val="28"/>
                <w:szCs w:val="28"/>
              </w:rPr>
              <w:t>sourced from New England</w:t>
            </w:r>
            <w:r>
              <w:rPr>
                <w:rFonts w:cstheme="minorHAnsi"/>
                <w:sz w:val="28"/>
                <w:szCs w:val="28"/>
              </w:rPr>
              <w:t xml:space="preserve"> to 15% of total seafood purchases.</w:t>
            </w:r>
          </w:p>
        </w:tc>
      </w:tr>
      <w:tr w:rsidR="00DE7493" w14:paraId="6B2B24A5" w14:textId="77777777" w:rsidTr="00D308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vMerge/>
            <w:tcBorders>
              <w:top w:val="single" w:sz="12" w:space="0" w:color="auto"/>
              <w:bottom w:val="single" w:sz="18" w:space="0" w:color="auto"/>
              <w:right w:val="single" w:sz="18" w:space="0" w:color="auto"/>
            </w:tcBorders>
            <w:shd w:val="clear" w:color="auto" w:fill="C6D9F1" w:themeFill="text2" w:themeFillTint="33"/>
            <w:vAlign w:val="center"/>
          </w:tcPr>
          <w:p w14:paraId="56826CBF" w14:textId="77777777" w:rsidR="00DE7493" w:rsidRPr="00F326FC" w:rsidRDefault="00DE7493" w:rsidP="00D30890">
            <w:pPr>
              <w:rPr>
                <w:color w:val="000000" w:themeColor="text1"/>
                <w:sz w:val="28"/>
                <w:szCs w:val="28"/>
              </w:rPr>
            </w:pPr>
          </w:p>
        </w:tc>
        <w:tc>
          <w:tcPr>
            <w:tcW w:w="9000" w:type="dxa"/>
            <w:tcBorders>
              <w:top w:val="single" w:sz="12" w:space="0" w:color="auto"/>
              <w:left w:val="single" w:sz="18" w:space="0" w:color="auto"/>
              <w:bottom w:val="single" w:sz="12" w:space="0" w:color="auto"/>
            </w:tcBorders>
            <w:shd w:val="clear" w:color="auto" w:fill="C6D9F1" w:themeFill="text2" w:themeFillTint="33"/>
          </w:tcPr>
          <w:p w14:paraId="6492B4B3" w14:textId="77777777" w:rsidR="00DE7493" w:rsidRDefault="00DE7493" w:rsidP="00D30890">
            <w:pPr>
              <w:cnfStyle w:val="000000100000" w:firstRow="0" w:lastRow="0" w:firstColumn="0" w:lastColumn="0" w:oddVBand="0" w:evenVBand="0" w:oddHBand="1" w:evenHBand="0" w:firstRowFirstColumn="0" w:firstRowLastColumn="0" w:lastRowFirstColumn="0" w:lastRowLastColumn="0"/>
              <w:rPr>
                <w:rFonts w:cstheme="minorHAnsi"/>
                <w:sz w:val="28"/>
                <w:szCs w:val="28"/>
              </w:rPr>
            </w:pPr>
            <w:r>
              <w:rPr>
                <w:rFonts w:cstheme="minorHAnsi"/>
                <w:sz w:val="28"/>
                <w:szCs w:val="28"/>
              </w:rPr>
              <w:t xml:space="preserve">Increase purchases of chicken </w:t>
            </w:r>
            <w:r w:rsidRPr="001850E5">
              <w:rPr>
                <w:rFonts w:cstheme="minorHAnsi"/>
                <w:sz w:val="28"/>
                <w:szCs w:val="28"/>
              </w:rPr>
              <w:t>raised without routine antibiotics</w:t>
            </w:r>
            <w:r>
              <w:rPr>
                <w:rFonts w:cstheme="minorHAnsi"/>
                <w:sz w:val="28"/>
                <w:szCs w:val="28"/>
              </w:rPr>
              <w:t xml:space="preserve"> to 100% of total chicken purchases.</w:t>
            </w:r>
          </w:p>
        </w:tc>
      </w:tr>
      <w:tr w:rsidR="00DE7493" w14:paraId="48E47548" w14:textId="77777777" w:rsidTr="00D3089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vMerge/>
            <w:tcBorders>
              <w:top w:val="single" w:sz="12" w:space="0" w:color="auto"/>
              <w:bottom w:val="single" w:sz="18" w:space="0" w:color="auto"/>
              <w:right w:val="single" w:sz="18" w:space="0" w:color="auto"/>
            </w:tcBorders>
            <w:shd w:val="clear" w:color="auto" w:fill="C6D9F1" w:themeFill="text2" w:themeFillTint="33"/>
            <w:vAlign w:val="center"/>
          </w:tcPr>
          <w:p w14:paraId="7129C42D" w14:textId="77777777" w:rsidR="00DE7493" w:rsidRPr="00F326FC" w:rsidRDefault="00DE7493" w:rsidP="00D30890">
            <w:pPr>
              <w:rPr>
                <w:color w:val="000000" w:themeColor="text1"/>
                <w:sz w:val="28"/>
                <w:szCs w:val="28"/>
              </w:rPr>
            </w:pPr>
          </w:p>
        </w:tc>
        <w:tc>
          <w:tcPr>
            <w:tcW w:w="9000" w:type="dxa"/>
            <w:tcBorders>
              <w:top w:val="single" w:sz="12" w:space="0" w:color="auto"/>
              <w:left w:val="single" w:sz="18" w:space="0" w:color="auto"/>
              <w:bottom w:val="single" w:sz="12" w:space="0" w:color="auto"/>
            </w:tcBorders>
            <w:shd w:val="clear" w:color="auto" w:fill="C6D9F1" w:themeFill="text2" w:themeFillTint="33"/>
          </w:tcPr>
          <w:p w14:paraId="6A57E476" w14:textId="77777777" w:rsidR="00DE7493" w:rsidRDefault="00DE7493" w:rsidP="00D30890">
            <w:pPr>
              <w:cnfStyle w:val="000000010000" w:firstRow="0" w:lastRow="0" w:firstColumn="0" w:lastColumn="0" w:oddVBand="0" w:evenVBand="0" w:oddHBand="0" w:evenHBand="1" w:firstRowFirstColumn="0" w:firstRowLastColumn="0" w:lastRowFirstColumn="0" w:lastRowLastColumn="0"/>
              <w:rPr>
                <w:rFonts w:cstheme="minorHAnsi"/>
                <w:sz w:val="28"/>
                <w:szCs w:val="28"/>
              </w:rPr>
            </w:pPr>
            <w:r>
              <w:rPr>
                <w:rFonts w:cstheme="minorHAnsi"/>
                <w:sz w:val="28"/>
                <w:szCs w:val="28"/>
              </w:rPr>
              <w:t>Increase purchases of a</w:t>
            </w:r>
            <w:r w:rsidRPr="001850E5">
              <w:rPr>
                <w:rFonts w:cstheme="minorHAnsi"/>
                <w:sz w:val="28"/>
                <w:szCs w:val="28"/>
              </w:rPr>
              <w:t>ll other meats (not including chicken) raised without routine antibiotics</w:t>
            </w:r>
            <w:r>
              <w:rPr>
                <w:rFonts w:cstheme="minorHAnsi"/>
                <w:sz w:val="28"/>
                <w:szCs w:val="28"/>
              </w:rPr>
              <w:t xml:space="preserve"> to 35% of total other meats purchased.</w:t>
            </w:r>
          </w:p>
        </w:tc>
      </w:tr>
      <w:tr w:rsidR="00DE7493" w14:paraId="4A0635B8" w14:textId="77777777" w:rsidTr="00D308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vMerge/>
            <w:tcBorders>
              <w:top w:val="single" w:sz="12" w:space="0" w:color="auto"/>
              <w:bottom w:val="single" w:sz="18" w:space="0" w:color="auto"/>
              <w:right w:val="single" w:sz="18" w:space="0" w:color="auto"/>
            </w:tcBorders>
            <w:shd w:val="clear" w:color="auto" w:fill="C6D9F1" w:themeFill="text2" w:themeFillTint="33"/>
            <w:vAlign w:val="center"/>
          </w:tcPr>
          <w:p w14:paraId="7F743301" w14:textId="77777777" w:rsidR="00DE7493" w:rsidRPr="00F326FC" w:rsidRDefault="00DE7493" w:rsidP="00D30890">
            <w:pPr>
              <w:rPr>
                <w:color w:val="000000" w:themeColor="text1"/>
                <w:sz w:val="28"/>
                <w:szCs w:val="28"/>
              </w:rPr>
            </w:pPr>
          </w:p>
        </w:tc>
        <w:tc>
          <w:tcPr>
            <w:tcW w:w="9000" w:type="dxa"/>
            <w:tcBorders>
              <w:top w:val="single" w:sz="12" w:space="0" w:color="auto"/>
              <w:left w:val="single" w:sz="18" w:space="0" w:color="auto"/>
              <w:bottom w:val="single" w:sz="12" w:space="0" w:color="auto"/>
            </w:tcBorders>
            <w:shd w:val="clear" w:color="auto" w:fill="C6D9F1" w:themeFill="text2" w:themeFillTint="33"/>
          </w:tcPr>
          <w:p w14:paraId="27D5A420" w14:textId="77777777" w:rsidR="00DE7493" w:rsidRPr="00AE1CC8" w:rsidRDefault="00DE7493" w:rsidP="00D30890">
            <w:pPr>
              <w:cnfStyle w:val="000000100000" w:firstRow="0" w:lastRow="0" w:firstColumn="0" w:lastColumn="0" w:oddVBand="0" w:evenVBand="0" w:oddHBand="1" w:evenHBand="0" w:firstRowFirstColumn="0" w:firstRowLastColumn="0" w:lastRowFirstColumn="0" w:lastRowLastColumn="0"/>
              <w:rPr>
                <w:sz w:val="28"/>
                <w:szCs w:val="28"/>
              </w:rPr>
            </w:pPr>
            <w:r>
              <w:rPr>
                <w:rFonts w:cstheme="minorHAnsi"/>
                <w:sz w:val="28"/>
                <w:szCs w:val="28"/>
              </w:rPr>
              <w:t>Decrease t</w:t>
            </w:r>
            <w:r w:rsidRPr="00AE1CC8">
              <w:rPr>
                <w:rFonts w:cstheme="minorHAnsi"/>
                <w:sz w:val="28"/>
                <w:szCs w:val="28"/>
              </w:rPr>
              <w:t>otal meat purchases by 25%.</w:t>
            </w:r>
          </w:p>
        </w:tc>
      </w:tr>
      <w:tr w:rsidR="00DE7493" w14:paraId="715EA8DC" w14:textId="77777777" w:rsidTr="00D3089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vMerge/>
            <w:tcBorders>
              <w:top w:val="single" w:sz="12" w:space="0" w:color="auto"/>
              <w:bottom w:val="single" w:sz="18" w:space="0" w:color="auto"/>
              <w:right w:val="single" w:sz="18" w:space="0" w:color="auto"/>
            </w:tcBorders>
            <w:shd w:val="clear" w:color="auto" w:fill="C6D9F1" w:themeFill="text2" w:themeFillTint="33"/>
            <w:vAlign w:val="center"/>
          </w:tcPr>
          <w:p w14:paraId="6B47A25E" w14:textId="77777777" w:rsidR="00DE7493" w:rsidRPr="00F326FC" w:rsidRDefault="00DE7493" w:rsidP="00D30890">
            <w:pPr>
              <w:rPr>
                <w:color w:val="000000" w:themeColor="text1"/>
                <w:sz w:val="28"/>
                <w:szCs w:val="28"/>
              </w:rPr>
            </w:pPr>
          </w:p>
        </w:tc>
        <w:tc>
          <w:tcPr>
            <w:tcW w:w="9000" w:type="dxa"/>
            <w:tcBorders>
              <w:top w:val="single" w:sz="12" w:space="0" w:color="auto"/>
              <w:left w:val="single" w:sz="18" w:space="0" w:color="auto"/>
              <w:bottom w:val="single" w:sz="18" w:space="0" w:color="auto"/>
            </w:tcBorders>
            <w:shd w:val="clear" w:color="auto" w:fill="C6D9F1" w:themeFill="text2" w:themeFillTint="33"/>
          </w:tcPr>
          <w:p w14:paraId="362CD7C6" w14:textId="77777777" w:rsidR="00DE7493" w:rsidRDefault="00DE7493" w:rsidP="00D30890">
            <w:pPr>
              <w:cnfStyle w:val="000000010000" w:firstRow="0" w:lastRow="0" w:firstColumn="0" w:lastColumn="0" w:oddVBand="0" w:evenVBand="0" w:oddHBand="0" w:evenHBand="1" w:firstRowFirstColumn="0" w:firstRowLastColumn="0" w:lastRowFirstColumn="0" w:lastRowLastColumn="0"/>
              <w:rPr>
                <w:rFonts w:cstheme="minorHAnsi"/>
                <w:sz w:val="28"/>
                <w:szCs w:val="28"/>
              </w:rPr>
            </w:pPr>
            <w:r w:rsidRPr="001850E5">
              <w:rPr>
                <w:rFonts w:cstheme="minorHAnsi"/>
                <w:sz w:val="28"/>
                <w:szCs w:val="28"/>
              </w:rPr>
              <w:t xml:space="preserve">Increase availability of sustainable, healthy food to the community through the development of </w:t>
            </w:r>
            <w:r>
              <w:rPr>
                <w:rFonts w:cstheme="minorHAnsi"/>
                <w:sz w:val="28"/>
                <w:szCs w:val="28"/>
              </w:rPr>
              <w:t xml:space="preserve">3 </w:t>
            </w:r>
            <w:r w:rsidRPr="001850E5">
              <w:rPr>
                <w:rFonts w:cstheme="minorHAnsi"/>
                <w:sz w:val="28"/>
                <w:szCs w:val="28"/>
              </w:rPr>
              <w:t>new programs</w:t>
            </w:r>
            <w:r>
              <w:rPr>
                <w:rFonts w:cstheme="minorHAnsi"/>
                <w:sz w:val="28"/>
                <w:szCs w:val="28"/>
              </w:rPr>
              <w:t>.</w:t>
            </w:r>
          </w:p>
        </w:tc>
      </w:tr>
      <w:tr w:rsidR="00DE7493" w14:paraId="1D36DD17" w14:textId="77777777" w:rsidTr="00D308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vMerge w:val="restart"/>
            <w:tcBorders>
              <w:top w:val="single" w:sz="18" w:space="0" w:color="auto"/>
              <w:bottom w:val="single" w:sz="12" w:space="0" w:color="auto"/>
              <w:right w:val="single" w:sz="18" w:space="0" w:color="auto"/>
            </w:tcBorders>
            <w:shd w:val="clear" w:color="auto" w:fill="FFFFFF" w:themeFill="background1"/>
            <w:vAlign w:val="center"/>
          </w:tcPr>
          <w:p w14:paraId="5780E945" w14:textId="77777777" w:rsidR="00DE7493" w:rsidRPr="00F326FC" w:rsidRDefault="00DE7493" w:rsidP="00D30890">
            <w:pPr>
              <w:rPr>
                <w:color w:val="000000" w:themeColor="text1"/>
                <w:sz w:val="28"/>
                <w:szCs w:val="28"/>
              </w:rPr>
            </w:pPr>
            <w:r w:rsidRPr="00F326FC">
              <w:rPr>
                <w:color w:val="000000" w:themeColor="text1"/>
                <w:sz w:val="28"/>
                <w:szCs w:val="28"/>
              </w:rPr>
              <w:t>Less Waste</w:t>
            </w:r>
          </w:p>
        </w:tc>
        <w:tc>
          <w:tcPr>
            <w:tcW w:w="9000" w:type="dxa"/>
            <w:tcBorders>
              <w:top w:val="single" w:sz="18" w:space="0" w:color="auto"/>
              <w:left w:val="single" w:sz="18" w:space="0" w:color="auto"/>
              <w:bottom w:val="single" w:sz="12" w:space="0" w:color="auto"/>
            </w:tcBorders>
            <w:shd w:val="clear" w:color="auto" w:fill="FFFFFF" w:themeFill="background1"/>
          </w:tcPr>
          <w:p w14:paraId="0781E4E5" w14:textId="77777777" w:rsidR="00DE7493" w:rsidRPr="00AE1CC8" w:rsidRDefault="00DE7493" w:rsidP="00D30890">
            <w:pPr>
              <w:cnfStyle w:val="000000100000" w:firstRow="0" w:lastRow="0" w:firstColumn="0" w:lastColumn="0" w:oddVBand="0" w:evenVBand="0" w:oddHBand="1" w:evenHBand="0" w:firstRowFirstColumn="0" w:firstRowLastColumn="0" w:lastRowFirstColumn="0" w:lastRowLastColumn="0"/>
              <w:rPr>
                <w:sz w:val="28"/>
                <w:szCs w:val="28"/>
              </w:rPr>
            </w:pPr>
            <w:r w:rsidRPr="00AE1CC8">
              <w:rPr>
                <w:sz w:val="28"/>
                <w:szCs w:val="28"/>
              </w:rPr>
              <w:t xml:space="preserve">Reduce total pounds of waste per square foot by 10%.  </w:t>
            </w:r>
          </w:p>
        </w:tc>
      </w:tr>
      <w:tr w:rsidR="00DE7493" w14:paraId="1D0C8AE8" w14:textId="77777777" w:rsidTr="00D3089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vMerge/>
            <w:tcBorders>
              <w:top w:val="single" w:sz="12" w:space="0" w:color="auto"/>
              <w:bottom w:val="single" w:sz="12" w:space="0" w:color="auto"/>
              <w:right w:val="single" w:sz="18" w:space="0" w:color="auto"/>
            </w:tcBorders>
            <w:shd w:val="clear" w:color="auto" w:fill="FFFFFF" w:themeFill="background1"/>
            <w:vAlign w:val="center"/>
          </w:tcPr>
          <w:p w14:paraId="5CCC8229" w14:textId="77777777" w:rsidR="00DE7493" w:rsidRPr="00F326FC" w:rsidRDefault="00DE7493" w:rsidP="00D30890">
            <w:pPr>
              <w:rPr>
                <w:color w:val="000000" w:themeColor="text1"/>
                <w:sz w:val="28"/>
                <w:szCs w:val="28"/>
              </w:rPr>
            </w:pPr>
          </w:p>
        </w:tc>
        <w:tc>
          <w:tcPr>
            <w:tcW w:w="9000" w:type="dxa"/>
            <w:tcBorders>
              <w:top w:val="single" w:sz="12" w:space="0" w:color="auto"/>
              <w:left w:val="single" w:sz="18" w:space="0" w:color="auto"/>
              <w:bottom w:val="single" w:sz="12" w:space="0" w:color="auto"/>
            </w:tcBorders>
            <w:shd w:val="clear" w:color="auto" w:fill="FFFFFF" w:themeFill="background1"/>
          </w:tcPr>
          <w:p w14:paraId="2CAA51B0" w14:textId="77777777" w:rsidR="00DE7493" w:rsidRPr="00AE1CC8" w:rsidRDefault="00DE7493" w:rsidP="00D30890">
            <w:pPr>
              <w:cnfStyle w:val="000000010000" w:firstRow="0" w:lastRow="0" w:firstColumn="0" w:lastColumn="0" w:oddVBand="0" w:evenVBand="0" w:oddHBand="0" w:evenHBand="1" w:firstRowFirstColumn="0" w:firstRowLastColumn="0" w:lastRowFirstColumn="0" w:lastRowLastColumn="0"/>
              <w:rPr>
                <w:sz w:val="28"/>
                <w:szCs w:val="28"/>
              </w:rPr>
            </w:pPr>
            <w:r w:rsidRPr="00AE1CC8">
              <w:rPr>
                <w:sz w:val="28"/>
                <w:szCs w:val="28"/>
              </w:rPr>
              <w:t>Achieve a 40% recycling and reuse rate.</w:t>
            </w:r>
          </w:p>
        </w:tc>
      </w:tr>
      <w:tr w:rsidR="00DE7493" w14:paraId="48D86A0F" w14:textId="77777777" w:rsidTr="00D308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vMerge/>
            <w:tcBorders>
              <w:top w:val="single" w:sz="12" w:space="0" w:color="auto"/>
              <w:bottom w:val="single" w:sz="12" w:space="0" w:color="auto"/>
              <w:right w:val="single" w:sz="18" w:space="0" w:color="auto"/>
            </w:tcBorders>
            <w:shd w:val="clear" w:color="auto" w:fill="FFFFFF" w:themeFill="background1"/>
            <w:vAlign w:val="center"/>
          </w:tcPr>
          <w:p w14:paraId="0539A214" w14:textId="77777777" w:rsidR="00DE7493" w:rsidRPr="00F326FC" w:rsidRDefault="00DE7493" w:rsidP="00D30890">
            <w:pPr>
              <w:rPr>
                <w:color w:val="000000" w:themeColor="text1"/>
                <w:sz w:val="28"/>
                <w:szCs w:val="28"/>
              </w:rPr>
            </w:pPr>
          </w:p>
        </w:tc>
        <w:tc>
          <w:tcPr>
            <w:tcW w:w="9000" w:type="dxa"/>
            <w:tcBorders>
              <w:top w:val="single" w:sz="12" w:space="0" w:color="auto"/>
              <w:left w:val="single" w:sz="18" w:space="0" w:color="auto"/>
              <w:bottom w:val="single" w:sz="12" w:space="0" w:color="auto"/>
            </w:tcBorders>
            <w:shd w:val="clear" w:color="auto" w:fill="FFFFFF" w:themeFill="background1"/>
          </w:tcPr>
          <w:p w14:paraId="0F0B8ACC" w14:textId="77777777" w:rsidR="00DE7493" w:rsidRPr="00AE1CC8" w:rsidRDefault="00DE7493" w:rsidP="00D30890">
            <w:pPr>
              <w:cnfStyle w:val="000000100000" w:firstRow="0" w:lastRow="0" w:firstColumn="0" w:lastColumn="0" w:oddVBand="0" w:evenVBand="0" w:oddHBand="1" w:evenHBand="0" w:firstRowFirstColumn="0" w:firstRowLastColumn="0" w:lastRowFirstColumn="0" w:lastRowLastColumn="0"/>
              <w:rPr>
                <w:sz w:val="28"/>
                <w:szCs w:val="28"/>
              </w:rPr>
            </w:pPr>
            <w:r w:rsidRPr="00FA3326">
              <w:rPr>
                <w:sz w:val="28"/>
                <w:szCs w:val="28"/>
              </w:rPr>
              <w:t>Roll out DHMC pharmaceutical management best practices to Community Group Practices</w:t>
            </w:r>
            <w:r>
              <w:rPr>
                <w:sz w:val="28"/>
                <w:szCs w:val="28"/>
              </w:rPr>
              <w:t xml:space="preserve">. </w:t>
            </w:r>
          </w:p>
        </w:tc>
      </w:tr>
      <w:tr w:rsidR="00DE7493" w14:paraId="28CCC839" w14:textId="77777777" w:rsidTr="00D3089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vMerge/>
            <w:tcBorders>
              <w:top w:val="single" w:sz="12" w:space="0" w:color="auto"/>
              <w:bottom w:val="single" w:sz="12" w:space="0" w:color="auto"/>
              <w:right w:val="single" w:sz="18" w:space="0" w:color="auto"/>
            </w:tcBorders>
            <w:shd w:val="clear" w:color="auto" w:fill="FFFFFF" w:themeFill="background1"/>
            <w:vAlign w:val="center"/>
          </w:tcPr>
          <w:p w14:paraId="316992E6" w14:textId="77777777" w:rsidR="00DE7493" w:rsidRPr="00F326FC" w:rsidRDefault="00DE7493" w:rsidP="00D30890">
            <w:pPr>
              <w:rPr>
                <w:color w:val="000000" w:themeColor="text1"/>
                <w:sz w:val="28"/>
                <w:szCs w:val="28"/>
              </w:rPr>
            </w:pPr>
          </w:p>
        </w:tc>
        <w:tc>
          <w:tcPr>
            <w:tcW w:w="9000" w:type="dxa"/>
            <w:tcBorders>
              <w:top w:val="single" w:sz="12" w:space="0" w:color="auto"/>
              <w:left w:val="single" w:sz="18" w:space="0" w:color="auto"/>
              <w:bottom w:val="single" w:sz="12" w:space="0" w:color="auto"/>
            </w:tcBorders>
            <w:shd w:val="clear" w:color="auto" w:fill="FFFFFF" w:themeFill="background1"/>
          </w:tcPr>
          <w:p w14:paraId="3A35460A" w14:textId="77777777" w:rsidR="00DE7493" w:rsidRDefault="00DE7493" w:rsidP="00D30890">
            <w:pPr>
              <w:cnfStyle w:val="000000010000" w:firstRow="0" w:lastRow="0" w:firstColumn="0" w:lastColumn="0" w:oddVBand="0" w:evenVBand="0" w:oddHBand="0" w:evenHBand="1" w:firstRowFirstColumn="0" w:firstRowLastColumn="0" w:lastRowFirstColumn="0" w:lastRowLastColumn="0"/>
              <w:rPr>
                <w:sz w:val="28"/>
                <w:szCs w:val="28"/>
              </w:rPr>
            </w:pPr>
            <w:r w:rsidRPr="00C41141">
              <w:rPr>
                <w:sz w:val="28"/>
                <w:szCs w:val="28"/>
              </w:rPr>
              <w:t xml:space="preserve">Decrease risk of improper disposal of </w:t>
            </w:r>
            <w:r>
              <w:rPr>
                <w:sz w:val="28"/>
                <w:szCs w:val="28"/>
              </w:rPr>
              <w:t xml:space="preserve">pharmaceutical waste </w:t>
            </w:r>
            <w:r w:rsidRPr="00C41141">
              <w:rPr>
                <w:sz w:val="28"/>
                <w:szCs w:val="28"/>
              </w:rPr>
              <w:t>through the implementation of a patient take-back program for hazardous drugs.</w:t>
            </w:r>
          </w:p>
        </w:tc>
      </w:tr>
      <w:tr w:rsidR="00DE7493" w14:paraId="53B9CAFD" w14:textId="77777777" w:rsidTr="00D308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vMerge/>
            <w:tcBorders>
              <w:top w:val="single" w:sz="12" w:space="0" w:color="auto"/>
              <w:bottom w:val="single" w:sz="12" w:space="0" w:color="auto"/>
              <w:right w:val="single" w:sz="18" w:space="0" w:color="auto"/>
            </w:tcBorders>
            <w:shd w:val="clear" w:color="auto" w:fill="FFFFFF" w:themeFill="background1"/>
            <w:vAlign w:val="center"/>
          </w:tcPr>
          <w:p w14:paraId="5329FD56" w14:textId="77777777" w:rsidR="00DE7493" w:rsidRPr="00F326FC" w:rsidRDefault="00DE7493" w:rsidP="00D30890">
            <w:pPr>
              <w:rPr>
                <w:color w:val="000000" w:themeColor="text1"/>
                <w:sz w:val="28"/>
                <w:szCs w:val="28"/>
              </w:rPr>
            </w:pPr>
          </w:p>
        </w:tc>
        <w:tc>
          <w:tcPr>
            <w:tcW w:w="9000" w:type="dxa"/>
            <w:tcBorders>
              <w:top w:val="single" w:sz="12" w:space="0" w:color="auto"/>
              <w:left w:val="single" w:sz="18" w:space="0" w:color="auto"/>
              <w:bottom w:val="single" w:sz="12" w:space="0" w:color="auto"/>
            </w:tcBorders>
            <w:shd w:val="clear" w:color="auto" w:fill="FFFFFF" w:themeFill="background1"/>
          </w:tcPr>
          <w:p w14:paraId="0CE8A2CA" w14:textId="77777777" w:rsidR="00DE7493" w:rsidRDefault="00DE7493" w:rsidP="00D30890">
            <w:pPr>
              <w:cnfStyle w:val="000000100000" w:firstRow="0" w:lastRow="0" w:firstColumn="0" w:lastColumn="0" w:oddVBand="0" w:evenVBand="0" w:oddHBand="1" w:evenHBand="0" w:firstRowFirstColumn="0" w:firstRowLastColumn="0" w:lastRowFirstColumn="0" w:lastRowLastColumn="0"/>
              <w:rPr>
                <w:sz w:val="28"/>
                <w:szCs w:val="28"/>
              </w:rPr>
            </w:pPr>
            <w:r w:rsidRPr="0061464C">
              <w:rPr>
                <w:sz w:val="28"/>
                <w:szCs w:val="28"/>
              </w:rPr>
              <w:t xml:space="preserve">Reduce </w:t>
            </w:r>
            <w:r>
              <w:rPr>
                <w:sz w:val="28"/>
                <w:szCs w:val="28"/>
              </w:rPr>
              <w:t xml:space="preserve">halogenated </w:t>
            </w:r>
            <w:r w:rsidRPr="0061464C">
              <w:rPr>
                <w:sz w:val="28"/>
                <w:szCs w:val="28"/>
              </w:rPr>
              <w:t>anesthetic GHG emissions by 75%</w:t>
            </w:r>
            <w:r>
              <w:rPr>
                <w:sz w:val="28"/>
                <w:szCs w:val="28"/>
              </w:rPr>
              <w:t>.</w:t>
            </w:r>
          </w:p>
        </w:tc>
      </w:tr>
      <w:tr w:rsidR="00DE7493" w14:paraId="6691549B" w14:textId="77777777" w:rsidTr="00D3089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vMerge/>
            <w:tcBorders>
              <w:top w:val="single" w:sz="12" w:space="0" w:color="auto"/>
              <w:bottom w:val="single" w:sz="18" w:space="0" w:color="auto"/>
              <w:right w:val="single" w:sz="18" w:space="0" w:color="auto"/>
            </w:tcBorders>
            <w:shd w:val="clear" w:color="auto" w:fill="FFFFFF" w:themeFill="background1"/>
            <w:vAlign w:val="center"/>
          </w:tcPr>
          <w:p w14:paraId="19AD412D" w14:textId="77777777" w:rsidR="00DE7493" w:rsidRPr="00F326FC" w:rsidRDefault="00DE7493" w:rsidP="00D30890">
            <w:pPr>
              <w:rPr>
                <w:color w:val="000000" w:themeColor="text1"/>
                <w:sz w:val="28"/>
                <w:szCs w:val="28"/>
              </w:rPr>
            </w:pPr>
          </w:p>
        </w:tc>
        <w:tc>
          <w:tcPr>
            <w:tcW w:w="9000" w:type="dxa"/>
            <w:tcBorders>
              <w:top w:val="single" w:sz="12" w:space="0" w:color="auto"/>
              <w:left w:val="single" w:sz="18" w:space="0" w:color="auto"/>
              <w:bottom w:val="single" w:sz="18" w:space="0" w:color="auto"/>
            </w:tcBorders>
            <w:shd w:val="clear" w:color="auto" w:fill="FFFFFF" w:themeFill="background1"/>
          </w:tcPr>
          <w:p w14:paraId="26AA1917" w14:textId="77777777" w:rsidR="00DE7493" w:rsidRDefault="00DE7493" w:rsidP="00D30890">
            <w:pPr>
              <w:cnfStyle w:val="000000010000" w:firstRow="0" w:lastRow="0" w:firstColumn="0" w:lastColumn="0" w:oddVBand="0" w:evenVBand="0" w:oddHBand="0" w:evenHBand="1" w:firstRowFirstColumn="0" w:firstRowLastColumn="0" w:lastRowFirstColumn="0" w:lastRowLastColumn="0"/>
              <w:rPr>
                <w:sz w:val="28"/>
                <w:szCs w:val="28"/>
              </w:rPr>
            </w:pPr>
            <w:r w:rsidRPr="0061464C">
              <w:rPr>
                <w:sz w:val="28"/>
                <w:szCs w:val="28"/>
              </w:rPr>
              <w:t xml:space="preserve">Evaluate </w:t>
            </w:r>
            <w:r>
              <w:rPr>
                <w:sz w:val="28"/>
                <w:szCs w:val="28"/>
              </w:rPr>
              <w:t xml:space="preserve">5 </w:t>
            </w:r>
            <w:r w:rsidRPr="0061464C">
              <w:rPr>
                <w:sz w:val="28"/>
                <w:szCs w:val="28"/>
              </w:rPr>
              <w:t>hazardous waste streams from the clinical labs for hazardous waste minimization opportunities</w:t>
            </w:r>
            <w:r>
              <w:rPr>
                <w:sz w:val="28"/>
                <w:szCs w:val="28"/>
              </w:rPr>
              <w:t>.</w:t>
            </w:r>
          </w:p>
        </w:tc>
      </w:tr>
      <w:tr w:rsidR="00DE7493" w14:paraId="35148F96" w14:textId="77777777" w:rsidTr="00D308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vMerge w:val="restart"/>
            <w:tcBorders>
              <w:top w:val="single" w:sz="18" w:space="0" w:color="auto"/>
              <w:right w:val="single" w:sz="18" w:space="0" w:color="auto"/>
            </w:tcBorders>
            <w:shd w:val="clear" w:color="auto" w:fill="C6D9F1" w:themeFill="text2" w:themeFillTint="33"/>
            <w:vAlign w:val="center"/>
          </w:tcPr>
          <w:p w14:paraId="7067A28F" w14:textId="77777777" w:rsidR="00DE7493" w:rsidRPr="00F326FC" w:rsidRDefault="00DE7493" w:rsidP="00D30890">
            <w:pPr>
              <w:rPr>
                <w:color w:val="000000" w:themeColor="text1"/>
                <w:sz w:val="28"/>
                <w:szCs w:val="28"/>
              </w:rPr>
            </w:pPr>
            <w:r>
              <w:rPr>
                <w:color w:val="000000" w:themeColor="text1"/>
                <w:sz w:val="28"/>
                <w:szCs w:val="28"/>
              </w:rPr>
              <w:t>Greener Culture</w:t>
            </w:r>
          </w:p>
        </w:tc>
        <w:tc>
          <w:tcPr>
            <w:tcW w:w="9000" w:type="dxa"/>
            <w:tcBorders>
              <w:top w:val="single" w:sz="18" w:space="0" w:color="auto"/>
              <w:left w:val="single" w:sz="18" w:space="0" w:color="auto"/>
              <w:bottom w:val="single" w:sz="12" w:space="0" w:color="auto"/>
            </w:tcBorders>
            <w:shd w:val="clear" w:color="auto" w:fill="C6D9F1" w:themeFill="text2" w:themeFillTint="33"/>
          </w:tcPr>
          <w:p w14:paraId="52D44980" w14:textId="77777777" w:rsidR="00DE7493" w:rsidRPr="00AE1CC8" w:rsidRDefault="00DE7493" w:rsidP="00D30890">
            <w:pPr>
              <w:cnfStyle w:val="000000100000" w:firstRow="0" w:lastRow="0" w:firstColumn="0" w:lastColumn="0" w:oddVBand="0" w:evenVBand="0" w:oddHBand="1" w:evenHBand="0" w:firstRowFirstColumn="0" w:firstRowLastColumn="0" w:lastRowFirstColumn="0" w:lastRowLastColumn="0"/>
              <w:rPr>
                <w:sz w:val="28"/>
                <w:szCs w:val="28"/>
              </w:rPr>
            </w:pPr>
            <w:r w:rsidRPr="00AE1CC8">
              <w:rPr>
                <w:sz w:val="28"/>
                <w:szCs w:val="28"/>
              </w:rPr>
              <w:t xml:space="preserve">Establish and operationalize </w:t>
            </w:r>
            <w:r>
              <w:rPr>
                <w:sz w:val="28"/>
                <w:szCs w:val="28"/>
              </w:rPr>
              <w:t>supplemental funding mechanisms</w:t>
            </w:r>
            <w:r w:rsidRPr="00AE1CC8">
              <w:rPr>
                <w:sz w:val="28"/>
                <w:szCs w:val="28"/>
              </w:rPr>
              <w:t xml:space="preserve"> for environmental sustainability initiatives.</w:t>
            </w:r>
          </w:p>
        </w:tc>
      </w:tr>
      <w:tr w:rsidR="00DE7493" w14:paraId="63A65C75" w14:textId="77777777" w:rsidTr="00D3089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vMerge/>
            <w:tcBorders>
              <w:right w:val="single" w:sz="18" w:space="0" w:color="auto"/>
            </w:tcBorders>
            <w:shd w:val="clear" w:color="auto" w:fill="C6D9F1" w:themeFill="text2" w:themeFillTint="33"/>
          </w:tcPr>
          <w:p w14:paraId="70D55065" w14:textId="77777777" w:rsidR="00DE7493" w:rsidRPr="00AE1CC8" w:rsidRDefault="00DE7493" w:rsidP="00D30890">
            <w:pPr>
              <w:rPr>
                <w:b w:val="0"/>
                <w:sz w:val="28"/>
                <w:szCs w:val="28"/>
              </w:rPr>
            </w:pPr>
          </w:p>
        </w:tc>
        <w:tc>
          <w:tcPr>
            <w:tcW w:w="9000" w:type="dxa"/>
            <w:tcBorders>
              <w:top w:val="single" w:sz="12" w:space="0" w:color="auto"/>
              <w:left w:val="single" w:sz="18" w:space="0" w:color="auto"/>
              <w:bottom w:val="single" w:sz="12" w:space="0" w:color="auto"/>
            </w:tcBorders>
            <w:shd w:val="clear" w:color="auto" w:fill="C6D9F1" w:themeFill="text2" w:themeFillTint="33"/>
          </w:tcPr>
          <w:p w14:paraId="427A29E7" w14:textId="77777777" w:rsidR="00DE7493" w:rsidRPr="00AE1CC8" w:rsidRDefault="00DE7493" w:rsidP="00D30890">
            <w:pPr>
              <w:cnfStyle w:val="000000010000" w:firstRow="0" w:lastRow="0" w:firstColumn="0" w:lastColumn="0" w:oddVBand="0" w:evenVBand="0" w:oddHBand="0" w:evenHBand="1" w:firstRowFirstColumn="0" w:firstRowLastColumn="0" w:lastRowFirstColumn="0" w:lastRowLastColumn="0"/>
              <w:rPr>
                <w:sz w:val="28"/>
                <w:szCs w:val="28"/>
              </w:rPr>
            </w:pPr>
            <w:r>
              <w:rPr>
                <w:sz w:val="28"/>
                <w:szCs w:val="28"/>
              </w:rPr>
              <w:t xml:space="preserve">Double employee participation in sustainability efforts and employee </w:t>
            </w:r>
            <w:r w:rsidRPr="00806A55">
              <w:rPr>
                <w:sz w:val="28"/>
                <w:szCs w:val="28"/>
              </w:rPr>
              <w:t>understanding of the connection between environmental and human health.</w:t>
            </w:r>
            <w:r>
              <w:rPr>
                <w:sz w:val="28"/>
                <w:szCs w:val="28"/>
              </w:rPr>
              <w:t xml:space="preserve"> </w:t>
            </w:r>
          </w:p>
        </w:tc>
      </w:tr>
      <w:tr w:rsidR="00DE7493" w14:paraId="3F995A94" w14:textId="77777777" w:rsidTr="00D308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vMerge/>
            <w:tcBorders>
              <w:right w:val="single" w:sz="18" w:space="0" w:color="auto"/>
            </w:tcBorders>
            <w:shd w:val="clear" w:color="auto" w:fill="C6D9F1" w:themeFill="text2" w:themeFillTint="33"/>
          </w:tcPr>
          <w:p w14:paraId="0035D0AC" w14:textId="77777777" w:rsidR="00DE7493" w:rsidRPr="00AE1CC8" w:rsidRDefault="00DE7493" w:rsidP="00D30890">
            <w:pPr>
              <w:rPr>
                <w:b w:val="0"/>
                <w:sz w:val="28"/>
                <w:szCs w:val="28"/>
              </w:rPr>
            </w:pPr>
          </w:p>
        </w:tc>
        <w:tc>
          <w:tcPr>
            <w:tcW w:w="9000" w:type="dxa"/>
            <w:tcBorders>
              <w:top w:val="single" w:sz="12" w:space="0" w:color="auto"/>
              <w:left w:val="single" w:sz="18" w:space="0" w:color="auto"/>
              <w:bottom w:val="single" w:sz="12" w:space="0" w:color="auto"/>
            </w:tcBorders>
            <w:shd w:val="clear" w:color="auto" w:fill="C6D9F1" w:themeFill="text2" w:themeFillTint="33"/>
          </w:tcPr>
          <w:p w14:paraId="2B92F3A2" w14:textId="7C223F94" w:rsidR="00DE7493" w:rsidRPr="00806A55" w:rsidRDefault="00DE7493" w:rsidP="00AC3737">
            <w:pPr>
              <w:cnfStyle w:val="000000100000" w:firstRow="0" w:lastRow="0" w:firstColumn="0" w:lastColumn="0" w:oddVBand="0" w:evenVBand="0" w:oddHBand="1" w:evenHBand="0" w:firstRowFirstColumn="0" w:firstRowLastColumn="0" w:lastRowFirstColumn="0" w:lastRowLastColumn="0"/>
              <w:rPr>
                <w:sz w:val="28"/>
                <w:szCs w:val="28"/>
              </w:rPr>
            </w:pPr>
            <w:r w:rsidRPr="00806A55">
              <w:rPr>
                <w:sz w:val="28"/>
                <w:szCs w:val="28"/>
              </w:rPr>
              <w:t>Establish clinical leadership in education and advocacy related to the connection between</w:t>
            </w:r>
            <w:r w:rsidR="00AC3737">
              <w:rPr>
                <w:sz w:val="28"/>
                <w:szCs w:val="28"/>
              </w:rPr>
              <w:t xml:space="preserve"> environmental and human health.</w:t>
            </w:r>
          </w:p>
        </w:tc>
      </w:tr>
      <w:tr w:rsidR="00DE7493" w14:paraId="23B621BB" w14:textId="77777777" w:rsidTr="00D3089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vMerge/>
            <w:tcBorders>
              <w:right w:val="single" w:sz="18" w:space="0" w:color="auto"/>
            </w:tcBorders>
            <w:shd w:val="clear" w:color="auto" w:fill="C6D9F1" w:themeFill="text2" w:themeFillTint="33"/>
          </w:tcPr>
          <w:p w14:paraId="7934C7FD" w14:textId="77777777" w:rsidR="00DE7493" w:rsidRPr="00AE1CC8" w:rsidRDefault="00DE7493" w:rsidP="00D30890">
            <w:pPr>
              <w:rPr>
                <w:b w:val="0"/>
                <w:sz w:val="28"/>
                <w:szCs w:val="28"/>
              </w:rPr>
            </w:pPr>
          </w:p>
        </w:tc>
        <w:tc>
          <w:tcPr>
            <w:tcW w:w="9000" w:type="dxa"/>
            <w:tcBorders>
              <w:top w:val="single" w:sz="12" w:space="0" w:color="auto"/>
              <w:left w:val="single" w:sz="18" w:space="0" w:color="auto"/>
              <w:bottom w:val="single" w:sz="12" w:space="0" w:color="auto"/>
            </w:tcBorders>
            <w:shd w:val="clear" w:color="auto" w:fill="C6D9F1" w:themeFill="text2" w:themeFillTint="33"/>
          </w:tcPr>
          <w:p w14:paraId="78E92826" w14:textId="77777777" w:rsidR="00DE7493" w:rsidRPr="00806A55" w:rsidRDefault="00DE7493" w:rsidP="00D30890">
            <w:pPr>
              <w:cnfStyle w:val="000000010000" w:firstRow="0" w:lastRow="0" w:firstColumn="0" w:lastColumn="0" w:oddVBand="0" w:evenVBand="0" w:oddHBand="0" w:evenHBand="1" w:firstRowFirstColumn="0" w:firstRowLastColumn="0" w:lastRowFirstColumn="0" w:lastRowLastColumn="0"/>
              <w:rPr>
                <w:sz w:val="28"/>
                <w:szCs w:val="28"/>
              </w:rPr>
            </w:pPr>
            <w:r w:rsidRPr="00806A55">
              <w:rPr>
                <w:sz w:val="28"/>
                <w:szCs w:val="28"/>
              </w:rPr>
              <w:t>Increase sustainability leadership through measures added into performance objectives and regular communication from leadership</w:t>
            </w:r>
            <w:r>
              <w:rPr>
                <w:sz w:val="28"/>
                <w:szCs w:val="28"/>
              </w:rPr>
              <w:t>.</w:t>
            </w:r>
          </w:p>
        </w:tc>
      </w:tr>
      <w:tr w:rsidR="00DE7493" w14:paraId="0F64D5D6" w14:textId="77777777" w:rsidTr="00D308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vMerge/>
            <w:tcBorders>
              <w:right w:val="single" w:sz="18" w:space="0" w:color="auto"/>
            </w:tcBorders>
            <w:shd w:val="clear" w:color="auto" w:fill="C6D9F1" w:themeFill="text2" w:themeFillTint="33"/>
          </w:tcPr>
          <w:p w14:paraId="1D38DA61" w14:textId="77777777" w:rsidR="00DE7493" w:rsidRPr="00AE1CC8" w:rsidRDefault="00DE7493" w:rsidP="00D30890">
            <w:pPr>
              <w:rPr>
                <w:b w:val="0"/>
                <w:sz w:val="28"/>
                <w:szCs w:val="28"/>
              </w:rPr>
            </w:pPr>
          </w:p>
        </w:tc>
        <w:tc>
          <w:tcPr>
            <w:tcW w:w="9000" w:type="dxa"/>
            <w:tcBorders>
              <w:top w:val="single" w:sz="12" w:space="0" w:color="auto"/>
              <w:left w:val="single" w:sz="18" w:space="0" w:color="auto"/>
              <w:bottom w:val="single" w:sz="18" w:space="0" w:color="auto"/>
            </w:tcBorders>
            <w:shd w:val="clear" w:color="auto" w:fill="C6D9F1" w:themeFill="text2" w:themeFillTint="33"/>
          </w:tcPr>
          <w:p w14:paraId="291E6DBE" w14:textId="77777777" w:rsidR="00DE7493" w:rsidRPr="00806A55" w:rsidRDefault="00DE7493" w:rsidP="00D30890">
            <w:pPr>
              <w:cnfStyle w:val="000000100000" w:firstRow="0" w:lastRow="0" w:firstColumn="0" w:lastColumn="0" w:oddVBand="0" w:evenVBand="0" w:oddHBand="1" w:evenHBand="0" w:firstRowFirstColumn="0" w:firstRowLastColumn="0" w:lastRowFirstColumn="0" w:lastRowLastColumn="0"/>
              <w:rPr>
                <w:sz w:val="28"/>
                <w:szCs w:val="28"/>
              </w:rPr>
            </w:pPr>
            <w:r w:rsidRPr="00806A55">
              <w:rPr>
                <w:sz w:val="28"/>
                <w:szCs w:val="28"/>
              </w:rPr>
              <w:t>Expand environmental sustainability program support to affiliate hospitals</w:t>
            </w:r>
            <w:r>
              <w:rPr>
                <w:sz w:val="28"/>
                <w:szCs w:val="28"/>
              </w:rPr>
              <w:t>.</w:t>
            </w:r>
          </w:p>
        </w:tc>
      </w:tr>
    </w:tbl>
    <w:p w14:paraId="2A6C34FB" w14:textId="77777777" w:rsidR="00DE7493" w:rsidRPr="00B508F4" w:rsidRDefault="00DE7493" w:rsidP="00DE7493">
      <w:pPr>
        <w:spacing w:before="240"/>
        <w:ind w:left="-90"/>
        <w:rPr>
          <w:sz w:val="26"/>
          <w:szCs w:val="26"/>
        </w:rPr>
      </w:pPr>
      <w:r w:rsidRPr="00B508F4">
        <w:rPr>
          <w:sz w:val="26"/>
          <w:szCs w:val="26"/>
        </w:rPr>
        <w:t>*Table contains summary language for some goals. See detailed list of goals for complete wording.</w:t>
      </w:r>
    </w:p>
    <w:p w14:paraId="19D9A15A" w14:textId="160EB365" w:rsidR="00E84D1F" w:rsidRDefault="00E84D1F">
      <w:pPr>
        <w:rPr>
          <w:rFonts w:cstheme="minorHAnsi"/>
        </w:rPr>
      </w:pPr>
    </w:p>
    <w:sectPr w:rsidR="00E84D1F" w:rsidSect="00DE7493">
      <w:type w:val="continuous"/>
      <w:pgSz w:w="12240" w:h="15840"/>
      <w:pgMar w:top="1296" w:right="720"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573514" w14:textId="77777777" w:rsidR="00D30890" w:rsidRDefault="00D30890" w:rsidP="007642B6">
      <w:pPr>
        <w:spacing w:line="240" w:lineRule="auto"/>
      </w:pPr>
      <w:r>
        <w:separator/>
      </w:r>
    </w:p>
  </w:endnote>
  <w:endnote w:type="continuationSeparator" w:id="0">
    <w:p w14:paraId="5D29C06C" w14:textId="77777777" w:rsidR="00D30890" w:rsidRDefault="00D30890" w:rsidP="007642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6725047"/>
      <w:docPartObj>
        <w:docPartGallery w:val="Page Numbers (Bottom of Page)"/>
        <w:docPartUnique/>
      </w:docPartObj>
    </w:sdtPr>
    <w:sdtEndPr>
      <w:rPr>
        <w:noProof/>
      </w:rPr>
    </w:sdtEndPr>
    <w:sdtContent>
      <w:p w14:paraId="3E9965A3" w14:textId="3F75D628" w:rsidR="00D30890" w:rsidRDefault="00D30890">
        <w:pPr>
          <w:pStyle w:val="Footer"/>
          <w:jc w:val="center"/>
        </w:pPr>
        <w:r>
          <w:fldChar w:fldCharType="begin"/>
        </w:r>
        <w:r>
          <w:instrText xml:space="preserve"> PAGE   \* MERGEFORMAT </w:instrText>
        </w:r>
        <w:r>
          <w:fldChar w:fldCharType="separate"/>
        </w:r>
        <w:r w:rsidR="00F548A7">
          <w:rPr>
            <w:noProof/>
          </w:rPr>
          <w:t>12</w:t>
        </w:r>
        <w:r>
          <w:rPr>
            <w:noProof/>
          </w:rPr>
          <w:fldChar w:fldCharType="end"/>
        </w:r>
      </w:p>
    </w:sdtContent>
  </w:sdt>
  <w:p w14:paraId="3AC54FF6" w14:textId="77777777" w:rsidR="00D30890" w:rsidRDefault="00D308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2353798"/>
      <w:docPartObj>
        <w:docPartGallery w:val="Page Numbers (Bottom of Page)"/>
        <w:docPartUnique/>
      </w:docPartObj>
    </w:sdtPr>
    <w:sdtEndPr>
      <w:rPr>
        <w:noProof/>
      </w:rPr>
    </w:sdtEndPr>
    <w:sdtContent>
      <w:p w14:paraId="64CAE702" w14:textId="2ECEB22A" w:rsidR="00D30890" w:rsidRDefault="00D30890">
        <w:pPr>
          <w:pStyle w:val="Footer"/>
          <w:jc w:val="center"/>
        </w:pPr>
        <w:r>
          <w:fldChar w:fldCharType="begin"/>
        </w:r>
        <w:r>
          <w:instrText xml:space="preserve"> PAGE   \* MERGEFORMAT </w:instrText>
        </w:r>
        <w:r>
          <w:fldChar w:fldCharType="separate"/>
        </w:r>
        <w:r w:rsidR="00F548A7">
          <w:rPr>
            <w:noProof/>
          </w:rPr>
          <w:t>1</w:t>
        </w:r>
        <w:r>
          <w:rPr>
            <w:noProof/>
          </w:rPr>
          <w:fldChar w:fldCharType="end"/>
        </w:r>
      </w:p>
    </w:sdtContent>
  </w:sdt>
  <w:p w14:paraId="3F8B79C2" w14:textId="77777777" w:rsidR="00D30890" w:rsidRDefault="00D308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873231" w14:textId="77777777" w:rsidR="00D30890" w:rsidRDefault="00D30890" w:rsidP="007642B6">
      <w:pPr>
        <w:spacing w:line="240" w:lineRule="auto"/>
      </w:pPr>
      <w:r>
        <w:separator/>
      </w:r>
    </w:p>
  </w:footnote>
  <w:footnote w:type="continuationSeparator" w:id="0">
    <w:p w14:paraId="486EB3A9" w14:textId="77777777" w:rsidR="00D30890" w:rsidRDefault="00D30890" w:rsidP="007642B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97981E" w14:textId="064841CC" w:rsidR="00D30890" w:rsidRDefault="00D30890">
    <w:pPr>
      <w:pStyle w:val="Header"/>
      <w:jc w:val="right"/>
    </w:pPr>
  </w:p>
  <w:p w14:paraId="0D2A1B9B" w14:textId="77777777" w:rsidR="00D30890" w:rsidRDefault="00D308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197011"/>
    <w:multiLevelType w:val="hybridMultilevel"/>
    <w:tmpl w:val="F8F220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5B6C37"/>
    <w:multiLevelType w:val="hybridMultilevel"/>
    <w:tmpl w:val="947CD208"/>
    <w:lvl w:ilvl="0" w:tplc="92DC7E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D3594C"/>
    <w:multiLevelType w:val="hybridMultilevel"/>
    <w:tmpl w:val="9F0289C8"/>
    <w:lvl w:ilvl="0" w:tplc="540232A0">
      <w:start w:val="202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281BDC"/>
    <w:multiLevelType w:val="hybridMultilevel"/>
    <w:tmpl w:val="FBBAC0F8"/>
    <w:lvl w:ilvl="0" w:tplc="6042609C">
      <w:start w:val="1"/>
      <w:numFmt w:val="decimal"/>
      <w:lvlText w:val="%1."/>
      <w:lvlJc w:val="left"/>
      <w:pPr>
        <w:tabs>
          <w:tab w:val="num" w:pos="360"/>
        </w:tabs>
        <w:ind w:left="360" w:hanging="360"/>
      </w:pPr>
    </w:lvl>
    <w:lvl w:ilvl="1" w:tplc="950EB0F0" w:tentative="1">
      <w:start w:val="1"/>
      <w:numFmt w:val="decimal"/>
      <w:lvlText w:val="%2."/>
      <w:lvlJc w:val="left"/>
      <w:pPr>
        <w:tabs>
          <w:tab w:val="num" w:pos="1080"/>
        </w:tabs>
        <w:ind w:left="1080" w:hanging="360"/>
      </w:pPr>
    </w:lvl>
    <w:lvl w:ilvl="2" w:tplc="7938E568" w:tentative="1">
      <w:start w:val="1"/>
      <w:numFmt w:val="decimal"/>
      <w:lvlText w:val="%3."/>
      <w:lvlJc w:val="left"/>
      <w:pPr>
        <w:tabs>
          <w:tab w:val="num" w:pos="1800"/>
        </w:tabs>
        <w:ind w:left="1800" w:hanging="360"/>
      </w:pPr>
    </w:lvl>
    <w:lvl w:ilvl="3" w:tplc="7ADCCED6" w:tentative="1">
      <w:start w:val="1"/>
      <w:numFmt w:val="decimal"/>
      <w:lvlText w:val="%4."/>
      <w:lvlJc w:val="left"/>
      <w:pPr>
        <w:tabs>
          <w:tab w:val="num" w:pos="2520"/>
        </w:tabs>
        <w:ind w:left="2520" w:hanging="360"/>
      </w:pPr>
    </w:lvl>
    <w:lvl w:ilvl="4" w:tplc="9DA07E14" w:tentative="1">
      <w:start w:val="1"/>
      <w:numFmt w:val="decimal"/>
      <w:lvlText w:val="%5."/>
      <w:lvlJc w:val="left"/>
      <w:pPr>
        <w:tabs>
          <w:tab w:val="num" w:pos="3240"/>
        </w:tabs>
        <w:ind w:left="3240" w:hanging="360"/>
      </w:pPr>
    </w:lvl>
    <w:lvl w:ilvl="5" w:tplc="5FD4C3A2" w:tentative="1">
      <w:start w:val="1"/>
      <w:numFmt w:val="decimal"/>
      <w:lvlText w:val="%6."/>
      <w:lvlJc w:val="left"/>
      <w:pPr>
        <w:tabs>
          <w:tab w:val="num" w:pos="3960"/>
        </w:tabs>
        <w:ind w:left="3960" w:hanging="360"/>
      </w:pPr>
    </w:lvl>
    <w:lvl w:ilvl="6" w:tplc="952E7484" w:tentative="1">
      <w:start w:val="1"/>
      <w:numFmt w:val="decimal"/>
      <w:lvlText w:val="%7."/>
      <w:lvlJc w:val="left"/>
      <w:pPr>
        <w:tabs>
          <w:tab w:val="num" w:pos="4680"/>
        </w:tabs>
        <w:ind w:left="4680" w:hanging="360"/>
      </w:pPr>
    </w:lvl>
    <w:lvl w:ilvl="7" w:tplc="788AAD94" w:tentative="1">
      <w:start w:val="1"/>
      <w:numFmt w:val="decimal"/>
      <w:lvlText w:val="%8."/>
      <w:lvlJc w:val="left"/>
      <w:pPr>
        <w:tabs>
          <w:tab w:val="num" w:pos="5400"/>
        </w:tabs>
        <w:ind w:left="5400" w:hanging="360"/>
      </w:pPr>
    </w:lvl>
    <w:lvl w:ilvl="8" w:tplc="B858AD34" w:tentative="1">
      <w:start w:val="1"/>
      <w:numFmt w:val="decimal"/>
      <w:lvlText w:val="%9."/>
      <w:lvlJc w:val="left"/>
      <w:pPr>
        <w:tabs>
          <w:tab w:val="num" w:pos="6120"/>
        </w:tabs>
        <w:ind w:left="6120" w:hanging="360"/>
      </w:pPr>
    </w:lvl>
  </w:abstractNum>
  <w:abstractNum w:abstractNumId="4" w15:restartNumberingAfterBreak="0">
    <w:nsid w:val="25B01AD3"/>
    <w:multiLevelType w:val="hybridMultilevel"/>
    <w:tmpl w:val="58F894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B0241D"/>
    <w:multiLevelType w:val="hybridMultilevel"/>
    <w:tmpl w:val="F8F220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342670"/>
    <w:multiLevelType w:val="hybridMultilevel"/>
    <w:tmpl w:val="F8F220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791666C"/>
    <w:multiLevelType w:val="hybridMultilevel"/>
    <w:tmpl w:val="F8F220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473460"/>
    <w:multiLevelType w:val="hybridMultilevel"/>
    <w:tmpl w:val="F8F220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FE00414"/>
    <w:multiLevelType w:val="hybridMultilevel"/>
    <w:tmpl w:val="F8F220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9"/>
  </w:num>
  <w:num w:numId="4">
    <w:abstractNumId w:val="8"/>
  </w:num>
  <w:num w:numId="5">
    <w:abstractNumId w:val="5"/>
  </w:num>
  <w:num w:numId="6">
    <w:abstractNumId w:val="6"/>
  </w:num>
  <w:num w:numId="7">
    <w:abstractNumId w:val="1"/>
  </w:num>
  <w:num w:numId="8">
    <w:abstractNumId w:val="4"/>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FCE"/>
    <w:rsid w:val="00000A7B"/>
    <w:rsid w:val="00026383"/>
    <w:rsid w:val="0004775A"/>
    <w:rsid w:val="000539D8"/>
    <w:rsid w:val="00083319"/>
    <w:rsid w:val="0009741E"/>
    <w:rsid w:val="000A00A7"/>
    <w:rsid w:val="000A09F6"/>
    <w:rsid w:val="000A7346"/>
    <w:rsid w:val="000E01AD"/>
    <w:rsid w:val="000E1346"/>
    <w:rsid w:val="001020AA"/>
    <w:rsid w:val="00113D12"/>
    <w:rsid w:val="00137E2F"/>
    <w:rsid w:val="00141A41"/>
    <w:rsid w:val="001524B8"/>
    <w:rsid w:val="001553EC"/>
    <w:rsid w:val="00160EB9"/>
    <w:rsid w:val="00173B1F"/>
    <w:rsid w:val="001942D7"/>
    <w:rsid w:val="001A46B0"/>
    <w:rsid w:val="001E4FFB"/>
    <w:rsid w:val="001E5A70"/>
    <w:rsid w:val="001F173D"/>
    <w:rsid w:val="00223398"/>
    <w:rsid w:val="00234DA4"/>
    <w:rsid w:val="00237A0C"/>
    <w:rsid w:val="0025095A"/>
    <w:rsid w:val="00256CFA"/>
    <w:rsid w:val="002714BE"/>
    <w:rsid w:val="00272FC3"/>
    <w:rsid w:val="002736C3"/>
    <w:rsid w:val="00295A61"/>
    <w:rsid w:val="002A2C3D"/>
    <w:rsid w:val="002C232E"/>
    <w:rsid w:val="002C5CDB"/>
    <w:rsid w:val="002C7C19"/>
    <w:rsid w:val="002D71EB"/>
    <w:rsid w:val="0030702F"/>
    <w:rsid w:val="003262A8"/>
    <w:rsid w:val="0033473E"/>
    <w:rsid w:val="00361347"/>
    <w:rsid w:val="00364B02"/>
    <w:rsid w:val="00365FD0"/>
    <w:rsid w:val="00374C20"/>
    <w:rsid w:val="0039487F"/>
    <w:rsid w:val="003E000A"/>
    <w:rsid w:val="003E0902"/>
    <w:rsid w:val="003E63DC"/>
    <w:rsid w:val="00401AC5"/>
    <w:rsid w:val="00407721"/>
    <w:rsid w:val="00414875"/>
    <w:rsid w:val="00422094"/>
    <w:rsid w:val="00437350"/>
    <w:rsid w:val="00471742"/>
    <w:rsid w:val="0048690C"/>
    <w:rsid w:val="00493C08"/>
    <w:rsid w:val="004A2A5D"/>
    <w:rsid w:val="004A499A"/>
    <w:rsid w:val="004C4844"/>
    <w:rsid w:val="004D257C"/>
    <w:rsid w:val="004D64E5"/>
    <w:rsid w:val="00503626"/>
    <w:rsid w:val="00525103"/>
    <w:rsid w:val="0054113A"/>
    <w:rsid w:val="00553940"/>
    <w:rsid w:val="00570537"/>
    <w:rsid w:val="005841E0"/>
    <w:rsid w:val="00586F2C"/>
    <w:rsid w:val="00590E97"/>
    <w:rsid w:val="005A17BC"/>
    <w:rsid w:val="005A3419"/>
    <w:rsid w:val="00622F2D"/>
    <w:rsid w:val="006317E2"/>
    <w:rsid w:val="00632369"/>
    <w:rsid w:val="00632879"/>
    <w:rsid w:val="0063773D"/>
    <w:rsid w:val="00666D8A"/>
    <w:rsid w:val="006719ED"/>
    <w:rsid w:val="00673FC8"/>
    <w:rsid w:val="00686FFA"/>
    <w:rsid w:val="006A670F"/>
    <w:rsid w:val="006B61C0"/>
    <w:rsid w:val="006D0523"/>
    <w:rsid w:val="006D5011"/>
    <w:rsid w:val="00703812"/>
    <w:rsid w:val="00712EC8"/>
    <w:rsid w:val="0072124A"/>
    <w:rsid w:val="00734A01"/>
    <w:rsid w:val="00737838"/>
    <w:rsid w:val="00741D98"/>
    <w:rsid w:val="007548A1"/>
    <w:rsid w:val="007642B6"/>
    <w:rsid w:val="00775268"/>
    <w:rsid w:val="007D0790"/>
    <w:rsid w:val="007D4054"/>
    <w:rsid w:val="007D548F"/>
    <w:rsid w:val="007F4E5F"/>
    <w:rsid w:val="00801112"/>
    <w:rsid w:val="00803F45"/>
    <w:rsid w:val="008354CE"/>
    <w:rsid w:val="00845511"/>
    <w:rsid w:val="00850E59"/>
    <w:rsid w:val="00877757"/>
    <w:rsid w:val="0088194F"/>
    <w:rsid w:val="00886FDA"/>
    <w:rsid w:val="008904BE"/>
    <w:rsid w:val="008A3983"/>
    <w:rsid w:val="008B51D4"/>
    <w:rsid w:val="008E5B67"/>
    <w:rsid w:val="008E6DA8"/>
    <w:rsid w:val="0090137D"/>
    <w:rsid w:val="0090147A"/>
    <w:rsid w:val="00910382"/>
    <w:rsid w:val="0092054A"/>
    <w:rsid w:val="00936904"/>
    <w:rsid w:val="00952084"/>
    <w:rsid w:val="00956879"/>
    <w:rsid w:val="00960A03"/>
    <w:rsid w:val="00984E46"/>
    <w:rsid w:val="009A1CA3"/>
    <w:rsid w:val="009C2A67"/>
    <w:rsid w:val="009D68B7"/>
    <w:rsid w:val="009F34CA"/>
    <w:rsid w:val="009F425F"/>
    <w:rsid w:val="009F5BB5"/>
    <w:rsid w:val="00A342DE"/>
    <w:rsid w:val="00A81228"/>
    <w:rsid w:val="00A83BAD"/>
    <w:rsid w:val="00AA4C62"/>
    <w:rsid w:val="00AB1D15"/>
    <w:rsid w:val="00AC3737"/>
    <w:rsid w:val="00B011DA"/>
    <w:rsid w:val="00B27853"/>
    <w:rsid w:val="00B47E8A"/>
    <w:rsid w:val="00B52A94"/>
    <w:rsid w:val="00B74A3D"/>
    <w:rsid w:val="00B97421"/>
    <w:rsid w:val="00C460B7"/>
    <w:rsid w:val="00C6549F"/>
    <w:rsid w:val="00C75A27"/>
    <w:rsid w:val="00C76556"/>
    <w:rsid w:val="00C77A3B"/>
    <w:rsid w:val="00C92967"/>
    <w:rsid w:val="00CB065E"/>
    <w:rsid w:val="00CB3273"/>
    <w:rsid w:val="00CB70D0"/>
    <w:rsid w:val="00CD1157"/>
    <w:rsid w:val="00CE7119"/>
    <w:rsid w:val="00D218B4"/>
    <w:rsid w:val="00D27006"/>
    <w:rsid w:val="00D30890"/>
    <w:rsid w:val="00D43D12"/>
    <w:rsid w:val="00D53DF3"/>
    <w:rsid w:val="00D73DEF"/>
    <w:rsid w:val="00D833B6"/>
    <w:rsid w:val="00DA1E12"/>
    <w:rsid w:val="00DA516E"/>
    <w:rsid w:val="00DB3B38"/>
    <w:rsid w:val="00DC2EAB"/>
    <w:rsid w:val="00DC55CE"/>
    <w:rsid w:val="00DE7493"/>
    <w:rsid w:val="00DF2791"/>
    <w:rsid w:val="00DF2F36"/>
    <w:rsid w:val="00DF5EB9"/>
    <w:rsid w:val="00E2674A"/>
    <w:rsid w:val="00E324C9"/>
    <w:rsid w:val="00E34206"/>
    <w:rsid w:val="00E440DC"/>
    <w:rsid w:val="00E53147"/>
    <w:rsid w:val="00E75A9F"/>
    <w:rsid w:val="00E84D1F"/>
    <w:rsid w:val="00E87119"/>
    <w:rsid w:val="00ED3D73"/>
    <w:rsid w:val="00EE6BD3"/>
    <w:rsid w:val="00EE73CC"/>
    <w:rsid w:val="00EE7C11"/>
    <w:rsid w:val="00EF4482"/>
    <w:rsid w:val="00F01309"/>
    <w:rsid w:val="00F17FCE"/>
    <w:rsid w:val="00F25BE1"/>
    <w:rsid w:val="00F373F1"/>
    <w:rsid w:val="00F5474F"/>
    <w:rsid w:val="00F548A7"/>
    <w:rsid w:val="00F57B96"/>
    <w:rsid w:val="00F663D0"/>
    <w:rsid w:val="00F67949"/>
    <w:rsid w:val="00F83F50"/>
    <w:rsid w:val="00F91F37"/>
    <w:rsid w:val="00FA7D14"/>
    <w:rsid w:val="00FD0355"/>
    <w:rsid w:val="00FE0421"/>
    <w:rsid w:val="00FE2012"/>
    <w:rsid w:val="00FE2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6983602"/>
  <w15:docId w15:val="{937BBFFD-6498-41B8-83ED-EEBE21A52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7FCE"/>
  </w:style>
  <w:style w:type="paragraph" w:styleId="Heading1">
    <w:name w:val="heading 1"/>
    <w:basedOn w:val="Normal"/>
    <w:next w:val="Normal"/>
    <w:link w:val="Heading1Char"/>
    <w:uiPriority w:val="9"/>
    <w:qFormat/>
    <w:rsid w:val="00F17FC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F5EB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7FCE"/>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F17FC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17FC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17FCE"/>
    <w:pPr>
      <w:ind w:left="720"/>
      <w:contextualSpacing/>
    </w:pPr>
  </w:style>
  <w:style w:type="character" w:styleId="Hyperlink">
    <w:name w:val="Hyperlink"/>
    <w:basedOn w:val="DefaultParagraphFont"/>
    <w:uiPriority w:val="99"/>
    <w:unhideWhenUsed/>
    <w:rsid w:val="00F17FCE"/>
    <w:rPr>
      <w:color w:val="0000FF" w:themeColor="hyperlink"/>
      <w:u w:val="single"/>
    </w:rPr>
  </w:style>
  <w:style w:type="character" w:customStyle="1" w:styleId="apple-converted-space">
    <w:name w:val="apple-converted-space"/>
    <w:basedOn w:val="DefaultParagraphFont"/>
    <w:rsid w:val="00F17FCE"/>
  </w:style>
  <w:style w:type="table" w:customStyle="1" w:styleId="TableGrid1">
    <w:name w:val="Table Grid1"/>
    <w:basedOn w:val="TableNormal"/>
    <w:next w:val="TableGrid"/>
    <w:uiPriority w:val="59"/>
    <w:rsid w:val="00F17FC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17FC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F17FCE"/>
    <w:pPr>
      <w:outlineLvl w:val="9"/>
    </w:pPr>
    <w:rPr>
      <w:lang w:eastAsia="ja-JP"/>
    </w:rPr>
  </w:style>
  <w:style w:type="paragraph" w:styleId="TOC1">
    <w:name w:val="toc 1"/>
    <w:basedOn w:val="Normal"/>
    <w:next w:val="Normal"/>
    <w:autoRedefine/>
    <w:uiPriority w:val="39"/>
    <w:unhideWhenUsed/>
    <w:rsid w:val="00F17FCE"/>
    <w:pPr>
      <w:spacing w:after="100"/>
    </w:pPr>
  </w:style>
  <w:style w:type="paragraph" w:styleId="Title">
    <w:name w:val="Title"/>
    <w:basedOn w:val="Normal"/>
    <w:next w:val="Normal"/>
    <w:link w:val="TitleChar"/>
    <w:uiPriority w:val="10"/>
    <w:qFormat/>
    <w:rsid w:val="00F17FCE"/>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17FCE"/>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F17FC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7FCE"/>
    <w:rPr>
      <w:rFonts w:ascii="Tahoma" w:hAnsi="Tahoma" w:cs="Tahoma"/>
      <w:sz w:val="16"/>
      <w:szCs w:val="16"/>
    </w:rPr>
  </w:style>
  <w:style w:type="character" w:styleId="FollowedHyperlink">
    <w:name w:val="FollowedHyperlink"/>
    <w:basedOn w:val="DefaultParagraphFont"/>
    <w:uiPriority w:val="99"/>
    <w:semiHidden/>
    <w:unhideWhenUsed/>
    <w:rsid w:val="00AB1D15"/>
    <w:rPr>
      <w:color w:val="800080" w:themeColor="followedHyperlink"/>
      <w:u w:val="single"/>
    </w:rPr>
  </w:style>
  <w:style w:type="paragraph" w:styleId="Header">
    <w:name w:val="header"/>
    <w:basedOn w:val="Normal"/>
    <w:link w:val="HeaderChar"/>
    <w:uiPriority w:val="99"/>
    <w:unhideWhenUsed/>
    <w:rsid w:val="007642B6"/>
    <w:pPr>
      <w:tabs>
        <w:tab w:val="center" w:pos="4680"/>
        <w:tab w:val="right" w:pos="9360"/>
      </w:tabs>
      <w:spacing w:line="240" w:lineRule="auto"/>
    </w:pPr>
  </w:style>
  <w:style w:type="character" w:customStyle="1" w:styleId="HeaderChar">
    <w:name w:val="Header Char"/>
    <w:basedOn w:val="DefaultParagraphFont"/>
    <w:link w:val="Header"/>
    <w:uiPriority w:val="99"/>
    <w:rsid w:val="007642B6"/>
  </w:style>
  <w:style w:type="paragraph" w:styleId="Footer">
    <w:name w:val="footer"/>
    <w:basedOn w:val="Normal"/>
    <w:link w:val="FooterChar"/>
    <w:uiPriority w:val="99"/>
    <w:unhideWhenUsed/>
    <w:rsid w:val="007642B6"/>
    <w:pPr>
      <w:tabs>
        <w:tab w:val="center" w:pos="4680"/>
        <w:tab w:val="right" w:pos="9360"/>
      </w:tabs>
      <w:spacing w:line="240" w:lineRule="auto"/>
    </w:pPr>
  </w:style>
  <w:style w:type="character" w:customStyle="1" w:styleId="FooterChar">
    <w:name w:val="Footer Char"/>
    <w:basedOn w:val="DefaultParagraphFont"/>
    <w:link w:val="Footer"/>
    <w:uiPriority w:val="99"/>
    <w:rsid w:val="007642B6"/>
  </w:style>
  <w:style w:type="character" w:styleId="CommentReference">
    <w:name w:val="annotation reference"/>
    <w:basedOn w:val="DefaultParagraphFont"/>
    <w:uiPriority w:val="99"/>
    <w:semiHidden/>
    <w:unhideWhenUsed/>
    <w:rsid w:val="00C92967"/>
    <w:rPr>
      <w:sz w:val="16"/>
      <w:szCs w:val="16"/>
    </w:rPr>
  </w:style>
  <w:style w:type="paragraph" w:styleId="CommentText">
    <w:name w:val="annotation text"/>
    <w:basedOn w:val="Normal"/>
    <w:link w:val="CommentTextChar"/>
    <w:uiPriority w:val="99"/>
    <w:semiHidden/>
    <w:unhideWhenUsed/>
    <w:rsid w:val="00C92967"/>
    <w:pPr>
      <w:spacing w:line="240" w:lineRule="auto"/>
    </w:pPr>
    <w:rPr>
      <w:sz w:val="20"/>
      <w:szCs w:val="20"/>
    </w:rPr>
  </w:style>
  <w:style w:type="character" w:customStyle="1" w:styleId="CommentTextChar">
    <w:name w:val="Comment Text Char"/>
    <w:basedOn w:val="DefaultParagraphFont"/>
    <w:link w:val="CommentText"/>
    <w:uiPriority w:val="99"/>
    <w:semiHidden/>
    <w:rsid w:val="00C92967"/>
    <w:rPr>
      <w:sz w:val="20"/>
      <w:szCs w:val="20"/>
    </w:rPr>
  </w:style>
  <w:style w:type="paragraph" w:styleId="CommentSubject">
    <w:name w:val="annotation subject"/>
    <w:basedOn w:val="CommentText"/>
    <w:next w:val="CommentText"/>
    <w:link w:val="CommentSubjectChar"/>
    <w:uiPriority w:val="99"/>
    <w:semiHidden/>
    <w:unhideWhenUsed/>
    <w:rsid w:val="00C92967"/>
    <w:rPr>
      <w:b/>
      <w:bCs/>
    </w:rPr>
  </w:style>
  <w:style w:type="character" w:customStyle="1" w:styleId="CommentSubjectChar">
    <w:name w:val="Comment Subject Char"/>
    <w:basedOn w:val="CommentTextChar"/>
    <w:link w:val="CommentSubject"/>
    <w:uiPriority w:val="99"/>
    <w:semiHidden/>
    <w:rsid w:val="00C92967"/>
    <w:rPr>
      <w:b/>
      <w:bCs/>
      <w:sz w:val="20"/>
      <w:szCs w:val="20"/>
    </w:rPr>
  </w:style>
  <w:style w:type="table" w:styleId="MediumShading1-Accent1">
    <w:name w:val="Medium Shading 1 Accent 1"/>
    <w:basedOn w:val="TableNormal"/>
    <w:uiPriority w:val="63"/>
    <w:rsid w:val="0030702F"/>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Heading2Char">
    <w:name w:val="Heading 2 Char"/>
    <w:basedOn w:val="DefaultParagraphFont"/>
    <w:link w:val="Heading2"/>
    <w:uiPriority w:val="9"/>
    <w:rsid w:val="00DF5EB9"/>
    <w:rPr>
      <w:rFonts w:asciiTheme="majorHAnsi" w:eastAsiaTheme="majorEastAsia" w:hAnsiTheme="majorHAnsi" w:cstheme="majorBidi"/>
      <w:color w:val="365F91" w:themeColor="accent1" w:themeShade="BF"/>
      <w:sz w:val="26"/>
      <w:szCs w:val="26"/>
    </w:rPr>
  </w:style>
  <w:style w:type="table" w:customStyle="1" w:styleId="MediumShading1-Accent11">
    <w:name w:val="Medium Shading 1 - Accent 11"/>
    <w:basedOn w:val="TableNormal"/>
    <w:next w:val="MediumShading1-Accent1"/>
    <w:uiPriority w:val="63"/>
    <w:rsid w:val="00DE7493"/>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738002">
      <w:bodyDiv w:val="1"/>
      <w:marLeft w:val="0"/>
      <w:marRight w:val="0"/>
      <w:marTop w:val="0"/>
      <w:marBottom w:val="0"/>
      <w:divBdr>
        <w:top w:val="none" w:sz="0" w:space="0" w:color="auto"/>
        <w:left w:val="none" w:sz="0" w:space="0" w:color="auto"/>
        <w:bottom w:val="none" w:sz="0" w:space="0" w:color="auto"/>
        <w:right w:val="none" w:sz="0" w:space="0" w:color="auto"/>
      </w:divBdr>
    </w:div>
    <w:div w:id="803932171">
      <w:bodyDiv w:val="1"/>
      <w:marLeft w:val="0"/>
      <w:marRight w:val="0"/>
      <w:marTop w:val="0"/>
      <w:marBottom w:val="0"/>
      <w:divBdr>
        <w:top w:val="none" w:sz="0" w:space="0" w:color="auto"/>
        <w:left w:val="none" w:sz="0" w:space="0" w:color="auto"/>
        <w:bottom w:val="none" w:sz="0" w:space="0" w:color="auto"/>
        <w:right w:val="none" w:sz="0" w:space="0" w:color="auto"/>
      </w:divBdr>
      <w:divsChild>
        <w:div w:id="58789019">
          <w:marLeft w:val="0"/>
          <w:marRight w:val="0"/>
          <w:marTop w:val="0"/>
          <w:marBottom w:val="0"/>
          <w:divBdr>
            <w:top w:val="none" w:sz="0" w:space="0" w:color="auto"/>
            <w:left w:val="none" w:sz="0" w:space="0" w:color="auto"/>
            <w:bottom w:val="none" w:sz="0" w:space="0" w:color="auto"/>
            <w:right w:val="none" w:sz="0" w:space="0" w:color="auto"/>
          </w:divBdr>
          <w:divsChild>
            <w:div w:id="1281838332">
              <w:marLeft w:val="0"/>
              <w:marRight w:val="0"/>
              <w:marTop w:val="0"/>
              <w:marBottom w:val="0"/>
              <w:divBdr>
                <w:top w:val="none" w:sz="0" w:space="0" w:color="auto"/>
                <w:left w:val="none" w:sz="0" w:space="0" w:color="auto"/>
                <w:bottom w:val="none" w:sz="0" w:space="0" w:color="auto"/>
                <w:right w:val="none" w:sz="0" w:space="0" w:color="auto"/>
              </w:divBdr>
              <w:divsChild>
                <w:div w:id="1120491455">
                  <w:marLeft w:val="0"/>
                  <w:marRight w:val="0"/>
                  <w:marTop w:val="0"/>
                  <w:marBottom w:val="0"/>
                  <w:divBdr>
                    <w:top w:val="none" w:sz="0" w:space="0" w:color="auto"/>
                    <w:left w:val="none" w:sz="0" w:space="0" w:color="auto"/>
                    <w:bottom w:val="none" w:sz="0" w:space="0" w:color="auto"/>
                    <w:right w:val="none" w:sz="0" w:space="0" w:color="auto"/>
                  </w:divBdr>
                  <w:divsChild>
                    <w:div w:id="299192107">
                      <w:marLeft w:val="0"/>
                      <w:marRight w:val="0"/>
                      <w:marTop w:val="0"/>
                      <w:marBottom w:val="0"/>
                      <w:divBdr>
                        <w:top w:val="none" w:sz="0" w:space="0" w:color="auto"/>
                        <w:left w:val="none" w:sz="0" w:space="0" w:color="auto"/>
                        <w:bottom w:val="none" w:sz="0" w:space="0" w:color="auto"/>
                        <w:right w:val="none" w:sz="0" w:space="0" w:color="auto"/>
                      </w:divBdr>
                      <w:divsChild>
                        <w:div w:id="574824404">
                          <w:marLeft w:val="0"/>
                          <w:marRight w:val="0"/>
                          <w:marTop w:val="0"/>
                          <w:marBottom w:val="0"/>
                          <w:divBdr>
                            <w:top w:val="none" w:sz="0" w:space="0" w:color="auto"/>
                            <w:left w:val="none" w:sz="0" w:space="0" w:color="auto"/>
                            <w:bottom w:val="none" w:sz="0" w:space="0" w:color="auto"/>
                            <w:right w:val="none" w:sz="0" w:space="0" w:color="auto"/>
                          </w:divBdr>
                          <w:divsChild>
                            <w:div w:id="761142295">
                              <w:marLeft w:val="0"/>
                              <w:marRight w:val="0"/>
                              <w:marTop w:val="0"/>
                              <w:marBottom w:val="0"/>
                              <w:divBdr>
                                <w:top w:val="none" w:sz="0" w:space="0" w:color="auto"/>
                                <w:left w:val="none" w:sz="0" w:space="0" w:color="auto"/>
                                <w:bottom w:val="none" w:sz="0" w:space="0" w:color="auto"/>
                                <w:right w:val="none" w:sz="0" w:space="0" w:color="auto"/>
                              </w:divBdr>
                              <w:divsChild>
                                <w:div w:id="193468602">
                                  <w:marLeft w:val="0"/>
                                  <w:marRight w:val="0"/>
                                  <w:marTop w:val="0"/>
                                  <w:marBottom w:val="0"/>
                                  <w:divBdr>
                                    <w:top w:val="none" w:sz="0" w:space="0" w:color="auto"/>
                                    <w:left w:val="none" w:sz="0" w:space="0" w:color="auto"/>
                                    <w:bottom w:val="none" w:sz="0" w:space="0" w:color="auto"/>
                                    <w:right w:val="none" w:sz="0" w:space="0" w:color="auto"/>
                                  </w:divBdr>
                                  <w:divsChild>
                                    <w:div w:id="876235067">
                                      <w:marLeft w:val="0"/>
                                      <w:marRight w:val="0"/>
                                      <w:marTop w:val="0"/>
                                      <w:marBottom w:val="0"/>
                                      <w:divBdr>
                                        <w:top w:val="none" w:sz="0" w:space="0" w:color="auto"/>
                                        <w:left w:val="none" w:sz="0" w:space="0" w:color="auto"/>
                                        <w:bottom w:val="none" w:sz="0" w:space="0" w:color="auto"/>
                                        <w:right w:val="none" w:sz="0" w:space="0" w:color="auto"/>
                                      </w:divBdr>
                                      <w:divsChild>
                                        <w:div w:id="753013362">
                                          <w:marLeft w:val="0"/>
                                          <w:marRight w:val="0"/>
                                          <w:marTop w:val="0"/>
                                          <w:marBottom w:val="0"/>
                                          <w:divBdr>
                                            <w:top w:val="none" w:sz="0" w:space="0" w:color="auto"/>
                                            <w:left w:val="none" w:sz="0" w:space="0" w:color="auto"/>
                                            <w:bottom w:val="none" w:sz="0" w:space="0" w:color="auto"/>
                                            <w:right w:val="none" w:sz="0" w:space="0" w:color="auto"/>
                                          </w:divBdr>
                                          <w:divsChild>
                                            <w:div w:id="29407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6361659">
      <w:bodyDiv w:val="1"/>
      <w:marLeft w:val="0"/>
      <w:marRight w:val="0"/>
      <w:marTop w:val="0"/>
      <w:marBottom w:val="0"/>
      <w:divBdr>
        <w:top w:val="none" w:sz="0" w:space="0" w:color="auto"/>
        <w:left w:val="none" w:sz="0" w:space="0" w:color="auto"/>
        <w:bottom w:val="none" w:sz="0" w:space="0" w:color="auto"/>
        <w:right w:val="none" w:sz="0" w:space="0" w:color="auto"/>
      </w:divBdr>
      <w:divsChild>
        <w:div w:id="201603565">
          <w:marLeft w:val="0"/>
          <w:marRight w:val="0"/>
          <w:marTop w:val="0"/>
          <w:marBottom w:val="0"/>
          <w:divBdr>
            <w:top w:val="none" w:sz="0" w:space="0" w:color="auto"/>
            <w:left w:val="none" w:sz="0" w:space="0" w:color="auto"/>
            <w:bottom w:val="none" w:sz="0" w:space="0" w:color="auto"/>
            <w:right w:val="none" w:sz="0" w:space="0" w:color="auto"/>
          </w:divBdr>
          <w:divsChild>
            <w:div w:id="1993215341">
              <w:marLeft w:val="0"/>
              <w:marRight w:val="0"/>
              <w:marTop w:val="0"/>
              <w:marBottom w:val="150"/>
              <w:divBdr>
                <w:top w:val="none" w:sz="0" w:space="0" w:color="auto"/>
                <w:left w:val="none" w:sz="0" w:space="0" w:color="auto"/>
                <w:bottom w:val="none" w:sz="0" w:space="0" w:color="auto"/>
                <w:right w:val="none" w:sz="0" w:space="0" w:color="auto"/>
              </w:divBdr>
              <w:divsChild>
                <w:div w:id="1997221017">
                  <w:marLeft w:val="3645"/>
                  <w:marRight w:val="0"/>
                  <w:marTop w:val="0"/>
                  <w:marBottom w:val="0"/>
                  <w:divBdr>
                    <w:top w:val="none" w:sz="0" w:space="0" w:color="auto"/>
                    <w:left w:val="none" w:sz="0" w:space="0" w:color="auto"/>
                    <w:bottom w:val="none" w:sz="0" w:space="0" w:color="auto"/>
                    <w:right w:val="none" w:sz="0" w:space="0" w:color="auto"/>
                  </w:divBdr>
                  <w:divsChild>
                    <w:div w:id="78558007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081703">
      <w:bodyDiv w:val="1"/>
      <w:marLeft w:val="0"/>
      <w:marRight w:val="0"/>
      <w:marTop w:val="0"/>
      <w:marBottom w:val="0"/>
      <w:divBdr>
        <w:top w:val="none" w:sz="0" w:space="0" w:color="auto"/>
        <w:left w:val="none" w:sz="0" w:space="0" w:color="auto"/>
        <w:bottom w:val="none" w:sz="0" w:space="0" w:color="auto"/>
        <w:right w:val="none" w:sz="0" w:space="0" w:color="auto"/>
      </w:divBdr>
      <w:divsChild>
        <w:div w:id="310793031">
          <w:marLeft w:val="0"/>
          <w:marRight w:val="0"/>
          <w:marTop w:val="0"/>
          <w:marBottom w:val="0"/>
          <w:divBdr>
            <w:top w:val="none" w:sz="0" w:space="0" w:color="auto"/>
            <w:left w:val="none" w:sz="0" w:space="0" w:color="auto"/>
            <w:bottom w:val="none" w:sz="0" w:space="0" w:color="auto"/>
            <w:right w:val="none" w:sz="0" w:space="0" w:color="auto"/>
          </w:divBdr>
          <w:divsChild>
            <w:div w:id="686055471">
              <w:marLeft w:val="0"/>
              <w:marRight w:val="0"/>
              <w:marTop w:val="0"/>
              <w:marBottom w:val="0"/>
              <w:divBdr>
                <w:top w:val="none" w:sz="0" w:space="0" w:color="auto"/>
                <w:left w:val="none" w:sz="0" w:space="0" w:color="auto"/>
                <w:bottom w:val="none" w:sz="0" w:space="0" w:color="auto"/>
                <w:right w:val="none" w:sz="0" w:space="0" w:color="auto"/>
              </w:divBdr>
              <w:divsChild>
                <w:div w:id="2102137118">
                  <w:marLeft w:val="0"/>
                  <w:marRight w:val="0"/>
                  <w:marTop w:val="0"/>
                  <w:marBottom w:val="0"/>
                  <w:divBdr>
                    <w:top w:val="none" w:sz="0" w:space="0" w:color="auto"/>
                    <w:left w:val="none" w:sz="0" w:space="0" w:color="auto"/>
                    <w:bottom w:val="none" w:sz="0" w:space="0" w:color="auto"/>
                    <w:right w:val="none" w:sz="0" w:space="0" w:color="auto"/>
                  </w:divBdr>
                  <w:divsChild>
                    <w:div w:id="372734347">
                      <w:marLeft w:val="0"/>
                      <w:marRight w:val="0"/>
                      <w:marTop w:val="0"/>
                      <w:marBottom w:val="0"/>
                      <w:divBdr>
                        <w:top w:val="none" w:sz="0" w:space="0" w:color="auto"/>
                        <w:left w:val="none" w:sz="0" w:space="0" w:color="auto"/>
                        <w:bottom w:val="none" w:sz="0" w:space="0" w:color="auto"/>
                        <w:right w:val="none" w:sz="0" w:space="0" w:color="auto"/>
                      </w:divBdr>
                      <w:divsChild>
                        <w:div w:id="341011347">
                          <w:marLeft w:val="0"/>
                          <w:marRight w:val="0"/>
                          <w:marTop w:val="0"/>
                          <w:marBottom w:val="0"/>
                          <w:divBdr>
                            <w:top w:val="none" w:sz="0" w:space="0" w:color="auto"/>
                            <w:left w:val="none" w:sz="0" w:space="0" w:color="auto"/>
                            <w:bottom w:val="none" w:sz="0" w:space="0" w:color="auto"/>
                            <w:right w:val="none" w:sz="0" w:space="0" w:color="auto"/>
                          </w:divBdr>
                          <w:divsChild>
                            <w:div w:id="2000961664">
                              <w:marLeft w:val="0"/>
                              <w:marRight w:val="0"/>
                              <w:marTop w:val="0"/>
                              <w:marBottom w:val="0"/>
                              <w:divBdr>
                                <w:top w:val="none" w:sz="0" w:space="0" w:color="auto"/>
                                <w:left w:val="none" w:sz="0" w:space="0" w:color="auto"/>
                                <w:bottom w:val="none" w:sz="0" w:space="0" w:color="auto"/>
                                <w:right w:val="none" w:sz="0" w:space="0" w:color="auto"/>
                              </w:divBdr>
                              <w:divsChild>
                                <w:div w:id="1211380579">
                                  <w:marLeft w:val="0"/>
                                  <w:marRight w:val="0"/>
                                  <w:marTop w:val="0"/>
                                  <w:marBottom w:val="0"/>
                                  <w:divBdr>
                                    <w:top w:val="none" w:sz="0" w:space="0" w:color="auto"/>
                                    <w:left w:val="none" w:sz="0" w:space="0" w:color="auto"/>
                                    <w:bottom w:val="none" w:sz="0" w:space="0" w:color="auto"/>
                                    <w:right w:val="none" w:sz="0" w:space="0" w:color="auto"/>
                                  </w:divBdr>
                                  <w:divsChild>
                                    <w:div w:id="1294561360">
                                      <w:marLeft w:val="0"/>
                                      <w:marRight w:val="0"/>
                                      <w:marTop w:val="0"/>
                                      <w:marBottom w:val="0"/>
                                      <w:divBdr>
                                        <w:top w:val="none" w:sz="0" w:space="0" w:color="auto"/>
                                        <w:left w:val="none" w:sz="0" w:space="0" w:color="auto"/>
                                        <w:bottom w:val="none" w:sz="0" w:space="0" w:color="auto"/>
                                        <w:right w:val="none" w:sz="0" w:space="0" w:color="auto"/>
                                      </w:divBdr>
                                      <w:divsChild>
                                        <w:div w:id="516115867">
                                          <w:marLeft w:val="0"/>
                                          <w:marRight w:val="0"/>
                                          <w:marTop w:val="0"/>
                                          <w:marBottom w:val="0"/>
                                          <w:divBdr>
                                            <w:top w:val="none" w:sz="0" w:space="0" w:color="auto"/>
                                            <w:left w:val="none" w:sz="0" w:space="0" w:color="auto"/>
                                            <w:bottom w:val="none" w:sz="0" w:space="0" w:color="auto"/>
                                            <w:right w:val="none" w:sz="0" w:space="0" w:color="auto"/>
                                          </w:divBdr>
                                          <w:divsChild>
                                            <w:div w:id="98076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pcc.ch/report/ar4/" TargetMode="External"/><Relationship Id="rId13" Type="http://schemas.openxmlformats.org/officeDocument/2006/relationships/hyperlink" Target="http://ww2.harford.edu/faculty/eaugusti/Environ%20Health/green%20building%20stats.pdf" TargetMode="External"/><Relationship Id="rId18" Type="http://schemas.openxmlformats.org/officeDocument/2006/relationships/hyperlink" Target="http://declareproducts.com/for-consumers" TargetMode="External"/><Relationship Id="rId26" Type="http://schemas.openxmlformats.org/officeDocument/2006/relationships/hyperlink" Target="https://noharm-uscanada.org/issues/us-canada/safer-chemicals" TargetMode="External"/><Relationship Id="rId3" Type="http://schemas.openxmlformats.org/officeDocument/2006/relationships/settings" Target="settings.xml"/><Relationship Id="rId21" Type="http://schemas.openxmlformats.org/officeDocument/2006/relationships/hyperlink" Target="http://www.uvm.edu/~transctr/research/trc_reports/UVM-TRC-13-010.pdf" TargetMode="External"/><Relationship Id="rId34" Type="http://schemas.openxmlformats.org/officeDocument/2006/relationships/header" Target="header1.xml"/><Relationship Id="rId7" Type="http://schemas.openxmlformats.org/officeDocument/2006/relationships/hyperlink" Target="https://noharm-uscanada.org/issues/us-canada/climate-and-health" TargetMode="External"/><Relationship Id="rId12" Type="http://schemas.openxmlformats.org/officeDocument/2006/relationships/hyperlink" Target="https://practicegreenhealth.org/topics/green-design-construction" TargetMode="External"/><Relationship Id="rId17" Type="http://schemas.openxmlformats.org/officeDocument/2006/relationships/hyperlink" Target="http://transparency.perkinswill.com/" TargetMode="External"/><Relationship Id="rId25" Type="http://schemas.openxmlformats.org/officeDocument/2006/relationships/hyperlink" Target="http://healthierhospitals.org/hhi-challenges/safer-chemicals"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healthybuilding.net/content/pharos-v3" TargetMode="External"/><Relationship Id="rId20" Type="http://schemas.openxmlformats.org/officeDocument/2006/relationships/hyperlink" Target="http://www.epa.gov/climatechange/ghgemissions/sources/transportation.html" TargetMode="External"/><Relationship Id="rId29" Type="http://schemas.openxmlformats.org/officeDocument/2006/relationships/hyperlink" Target="https://noharm-uscanada.org/sites/default/files/documents-files/2735/Expanding%20Antibiotic%20Stewardship.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3.epa.gov/region1/eco/drinkwater/water_conservation.html" TargetMode="External"/><Relationship Id="rId24" Type="http://schemas.openxmlformats.org/officeDocument/2006/relationships/hyperlink" Target="https://practicegreenhealth.org/topics/epp" TargetMode="External"/><Relationship Id="rId32" Type="http://schemas.openxmlformats.org/officeDocument/2006/relationships/hyperlink" Target="http://www.wiley.com/WileyCDA/WileyTitle/productCd-1118140974.html"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sustainabilityroadmap.org/strategies/targetenergy.shtml" TargetMode="External"/><Relationship Id="rId23" Type="http://schemas.openxmlformats.org/officeDocument/2006/relationships/hyperlink" Target="http://gas2.org/2014/12/04/workplace-charging-stations-encourage-plug-car-use/" TargetMode="External"/><Relationship Id="rId28" Type="http://schemas.openxmlformats.org/officeDocument/2006/relationships/hyperlink" Target="http://noharm.org/lib/downloads/food/Food_and_Food_Purchasing.pdf" TargetMode="External"/><Relationship Id="rId36" Type="http://schemas.openxmlformats.org/officeDocument/2006/relationships/fontTable" Target="fontTable.xml"/><Relationship Id="rId10" Type="http://schemas.openxmlformats.org/officeDocument/2006/relationships/hyperlink" Target="http://healthierhospitals.org/sites/default/files/IMCE/energy_information_and_resources_for_hospitals_in_new_hampshire_-_final_1.pdf" TargetMode="External"/><Relationship Id="rId19" Type="http://schemas.openxmlformats.org/officeDocument/2006/relationships/hyperlink" Target="https://www.greenwizard.com/" TargetMode="External"/><Relationship Id="rId31" Type="http://schemas.openxmlformats.org/officeDocument/2006/relationships/hyperlink" Target="http://greenbillion.org/resources/" TargetMode="External"/><Relationship Id="rId4" Type="http://schemas.openxmlformats.org/officeDocument/2006/relationships/webSettings" Target="webSettings.xml"/><Relationship Id="rId9" Type="http://schemas.openxmlformats.org/officeDocument/2006/relationships/hyperlink" Target="https://noharm-uscanada.org/articles/blog/us-canada/100-years-too-late" TargetMode="External"/><Relationship Id="rId14" Type="http://schemas.openxmlformats.org/officeDocument/2006/relationships/hyperlink" Target="http://fivethirtyeight.com/features/how-much-fuel-we-need-to-leave-buried-to-beat-climate-change/" TargetMode="External"/><Relationship Id="rId22" Type="http://schemas.openxmlformats.org/officeDocument/2006/relationships/hyperlink" Target="http://energy.gov/eere/articles/survey-says-workplace-charging-growing-popularity-and-impact" TargetMode="External"/><Relationship Id="rId27" Type="http://schemas.openxmlformats.org/officeDocument/2006/relationships/hyperlink" Target="http://www.farmtoinstitution.org/sites/default/files/imce/uploads/NE%20HFHC%20Report%202014.pdf" TargetMode="External"/><Relationship Id="rId30" Type="http://schemas.openxmlformats.org/officeDocument/2006/relationships/hyperlink" Target="http://www.farmtoinstitution.org/sites/default/files/imce/uploads/NE%20HFHC%20Report%202014.pdf" TargetMode="External"/><Relationship Id="rId35"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12</Pages>
  <Words>5549</Words>
  <Characters>31635</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Dartmouth-Hitchcock Medical Center</Company>
  <LinksUpToDate>false</LinksUpToDate>
  <CharactersWithSpaces>37110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Jessica A. Wolff</dc:creator>
  <cp:lastModifiedBy>Jessica A. Wolff</cp:lastModifiedBy>
  <cp:revision>5</cp:revision>
  <dcterms:created xsi:type="dcterms:W3CDTF">2016-01-14T13:22:00Z</dcterms:created>
  <dcterms:modified xsi:type="dcterms:W3CDTF">2016-01-14T13:43:00Z</dcterms:modified>
</cp:coreProperties>
</file>