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34" w:rsidRPr="00FE24C2" w:rsidRDefault="00F700FB" w:rsidP="00FE24C2">
      <w:pPr>
        <w:pStyle w:val="Heading1"/>
      </w:pPr>
      <w:bookmarkStart w:id="0" w:name="_GoBack"/>
      <w:bookmarkEnd w:id="0"/>
      <w:r w:rsidRPr="00FE24C2">
        <w:drawing>
          <wp:anchor distT="0" distB="0" distL="114300" distR="114300" simplePos="0" relativeHeight="251658240" behindDoc="1" locked="0" layoutInCell="0" allowOverlap="1" wp14:anchorId="30A83D5E" wp14:editId="41471684">
            <wp:simplePos x="457200" y="1828800"/>
            <wp:positionH relativeFrom="page">
              <wp:align>left</wp:align>
            </wp:positionH>
            <wp:positionV relativeFrom="page">
              <wp:align>top</wp:align>
            </wp:positionV>
            <wp:extent cx="7772400" cy="12618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ing the Case - Level 1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534" w:rsidRPr="00FE24C2">
        <w:t>Sharing Success Worksheet</w:t>
      </w:r>
    </w:p>
    <w:p w:rsidR="00B56534" w:rsidRPr="00841399" w:rsidRDefault="00B56534" w:rsidP="00841399">
      <w:pPr>
        <w:spacing w:after="240"/>
        <w:rPr>
          <w:sz w:val="24"/>
          <w:szCs w:val="24"/>
        </w:rPr>
      </w:pPr>
      <w:r w:rsidRPr="00841399">
        <w:rPr>
          <w:sz w:val="20"/>
        </w:rPr>
        <w:t>Use this sheet to capture the successes through staff interviews and meetings.</w:t>
      </w:r>
      <w:r w:rsidR="0061330F" w:rsidRPr="00841399">
        <w:rPr>
          <w:sz w:val="20"/>
        </w:rPr>
        <w:t xml:space="preserve"> </w:t>
      </w:r>
      <w:r w:rsidRPr="00841399">
        <w:rPr>
          <w:sz w:val="20"/>
        </w:rPr>
        <w:t>Concisely document the narrative, key individuals and measurable outcomes.</w:t>
      </w:r>
      <w:r w:rsidR="0061330F" w:rsidRPr="00841399">
        <w:rPr>
          <w:sz w:val="20"/>
        </w:rPr>
        <w:t xml:space="preserve"> </w:t>
      </w:r>
      <w:r w:rsidRPr="00841399">
        <w:rPr>
          <w:sz w:val="20"/>
        </w:rPr>
        <w:t>The detail highlights can be captured in slides and used to demonstrate activity and make the case for future opportunities.</w:t>
      </w:r>
    </w:p>
    <w:tbl>
      <w:tblPr>
        <w:tblW w:w="10851" w:type="dxa"/>
        <w:tblBorders>
          <w:top w:val="single" w:sz="4" w:space="0" w:color="B6DB85"/>
          <w:left w:val="single" w:sz="4" w:space="0" w:color="B6DB85"/>
          <w:bottom w:val="single" w:sz="4" w:space="0" w:color="B6DB85"/>
          <w:right w:val="single" w:sz="4" w:space="0" w:color="B6DB85"/>
          <w:insideH w:val="single" w:sz="4" w:space="0" w:color="B6DB85"/>
          <w:insideV w:val="single" w:sz="4" w:space="0" w:color="B6DB85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2"/>
        <w:gridCol w:w="2993"/>
        <w:gridCol w:w="2993"/>
        <w:gridCol w:w="2993"/>
      </w:tblGrid>
      <w:tr w:rsidR="00FE24C2" w:rsidRPr="00FE24C2" w:rsidTr="0012777A">
        <w:tc>
          <w:tcPr>
            <w:tcW w:w="1872" w:type="dxa"/>
            <w:shd w:val="clear" w:color="auto" w:fill="8DC63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6534" w:rsidRPr="00FE24C2" w:rsidRDefault="00B56534" w:rsidP="00FE24C2">
            <w:pPr>
              <w:rPr>
                <w:b/>
                <w:color w:val="FFFFFF" w:themeColor="background1"/>
                <w:sz w:val="20"/>
              </w:rPr>
            </w:pPr>
            <w:r w:rsidRPr="00FE24C2">
              <w:rPr>
                <w:b/>
                <w:color w:val="FFFFFF" w:themeColor="background1"/>
              </w:rPr>
              <w:t>Title of Success</w:t>
            </w:r>
          </w:p>
        </w:tc>
        <w:tc>
          <w:tcPr>
            <w:tcW w:w="2993" w:type="dxa"/>
            <w:shd w:val="clear" w:color="auto" w:fill="8DC63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6534" w:rsidRPr="00FE24C2" w:rsidRDefault="00B56534" w:rsidP="00FE24C2">
            <w:pPr>
              <w:rPr>
                <w:b/>
                <w:color w:val="FFFFFF" w:themeColor="background1"/>
                <w:sz w:val="20"/>
              </w:rPr>
            </w:pPr>
            <w:r w:rsidRPr="00FE24C2">
              <w:rPr>
                <w:b/>
                <w:color w:val="FFFFFF" w:themeColor="background1"/>
              </w:rPr>
              <w:t>Detail of Success</w:t>
            </w:r>
          </w:p>
        </w:tc>
        <w:tc>
          <w:tcPr>
            <w:tcW w:w="2993" w:type="dxa"/>
            <w:shd w:val="clear" w:color="auto" w:fill="8DC63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C21D9" w:rsidRPr="00FE24C2" w:rsidRDefault="00B56534" w:rsidP="00C35CFE">
            <w:pPr>
              <w:spacing w:before="60"/>
              <w:rPr>
                <w:b/>
                <w:color w:val="FFFFFF" w:themeColor="background1"/>
              </w:rPr>
            </w:pPr>
            <w:r w:rsidRPr="00FE24C2">
              <w:rPr>
                <w:b/>
                <w:color w:val="FFFFFF" w:themeColor="background1"/>
              </w:rPr>
              <w:t xml:space="preserve">Outcomes </w:t>
            </w:r>
          </w:p>
          <w:p w:rsidR="00B56534" w:rsidRPr="00FE24C2" w:rsidRDefault="00B56534" w:rsidP="00FE24C2">
            <w:pPr>
              <w:rPr>
                <w:b/>
                <w:color w:val="FFFFFF" w:themeColor="background1"/>
                <w:sz w:val="20"/>
              </w:rPr>
            </w:pPr>
            <w:r w:rsidRPr="00FE24C2">
              <w:rPr>
                <w:b/>
                <w:color w:val="FFFFFF" w:themeColor="background1"/>
                <w:sz w:val="14"/>
              </w:rPr>
              <w:t>(i.e. dollars saved, greenhouse gas reduction, engaged worker, satisfaction score, awards won, press received, # of staff educated, pounds less waste etc.)</w:t>
            </w:r>
          </w:p>
        </w:tc>
        <w:tc>
          <w:tcPr>
            <w:tcW w:w="2993" w:type="dxa"/>
            <w:shd w:val="clear" w:color="auto" w:fill="8DC63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6534" w:rsidRPr="00FE24C2" w:rsidRDefault="00B56534" w:rsidP="00FE24C2">
            <w:pPr>
              <w:rPr>
                <w:b/>
                <w:color w:val="FFFFFF" w:themeColor="background1"/>
                <w:sz w:val="20"/>
              </w:rPr>
            </w:pPr>
            <w:r w:rsidRPr="00FE24C2">
              <w:rPr>
                <w:b/>
                <w:color w:val="FFFFFF" w:themeColor="background1"/>
              </w:rPr>
              <w:t>Oppo</w:t>
            </w:r>
            <w:r w:rsidR="007236BB">
              <w:rPr>
                <w:b/>
                <w:color w:val="FFFFFF" w:themeColor="background1"/>
              </w:rPr>
              <w:t>rtunities</w:t>
            </w:r>
            <w:r w:rsidR="004C21D9" w:rsidRPr="00FE24C2">
              <w:rPr>
                <w:b/>
                <w:color w:val="FFFFFF" w:themeColor="background1"/>
              </w:rPr>
              <w:t>—</w:t>
            </w:r>
            <w:r w:rsidRPr="00FE24C2">
              <w:rPr>
                <w:b/>
                <w:color w:val="FFFFFF" w:themeColor="background1"/>
              </w:rPr>
              <w:t>What’s next?</w:t>
            </w:r>
          </w:p>
        </w:tc>
      </w:tr>
      <w:tr w:rsidR="008E7862" w:rsidRPr="00B56534" w:rsidTr="0012777A">
        <w:tc>
          <w:tcPr>
            <w:tcW w:w="1872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6534" w:rsidRPr="00BB4D9D" w:rsidRDefault="00B56534" w:rsidP="00FE24C2">
            <w:pPr>
              <w:rPr>
                <w:i/>
              </w:rPr>
            </w:pPr>
            <w:r w:rsidRPr="00BB4D9D">
              <w:rPr>
                <w:i/>
              </w:rPr>
              <w:t>Example</w:t>
            </w:r>
            <w:r w:rsidR="007236BB">
              <w:rPr>
                <w:i/>
              </w:rPr>
              <w:t xml:space="preserve"> </w:t>
            </w:r>
            <w:r w:rsidR="00BB4D9D" w:rsidRPr="00BB4D9D">
              <w:rPr>
                <w:i/>
              </w:rPr>
              <w:t>1</w:t>
            </w:r>
            <w:r w:rsidRPr="00BB4D9D">
              <w:rPr>
                <w:i/>
              </w:rPr>
              <w:t>:</w:t>
            </w:r>
          </w:p>
          <w:p w:rsidR="00B56534" w:rsidRPr="00BB4D9D" w:rsidRDefault="00B56534" w:rsidP="00FE24C2">
            <w:pPr>
              <w:rPr>
                <w:b/>
              </w:rPr>
            </w:pPr>
            <w:r w:rsidRPr="00BB4D9D">
              <w:rPr>
                <w:b/>
              </w:rPr>
              <w:t>Equipment and Supply donation</w:t>
            </w:r>
          </w:p>
        </w:tc>
        <w:tc>
          <w:tcPr>
            <w:tcW w:w="299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6534" w:rsidRPr="00B56534" w:rsidRDefault="00B56534" w:rsidP="00FE24C2">
            <w:r w:rsidRPr="00B56534">
              <w:t>Nurse Brown implemented a program to capture un used but no longer needed medical supplies and worked with her church to bring them to Haiti.</w:t>
            </w:r>
            <w:r w:rsidR="0061330F" w:rsidRPr="008E7862">
              <w:t xml:space="preserve"> </w:t>
            </w:r>
            <w:r w:rsidRPr="00B56534">
              <w:t>She started doing this in the Fall of 2012 and has expanded it to two of the sites.</w:t>
            </w:r>
            <w:r w:rsidR="0061330F" w:rsidRPr="008E7862">
              <w:t xml:space="preserve"> </w:t>
            </w:r>
            <w:r w:rsidRPr="00B56534">
              <w:t>She hosts education every month and it’s going very well.</w:t>
            </w:r>
          </w:p>
        </w:tc>
        <w:tc>
          <w:tcPr>
            <w:tcW w:w="299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6534" w:rsidRPr="00B56534" w:rsidRDefault="00B56534" w:rsidP="00FE24C2">
            <w:r w:rsidRPr="00B56534">
              <w:t>3,600 pounds of no longer needed materials and equipment were donated from the waste stream and received at Name of hospital in Haiti.</w:t>
            </w:r>
          </w:p>
          <w:p w:rsidR="00B56534" w:rsidRPr="00B56534" w:rsidRDefault="00B56534" w:rsidP="00FE24C2">
            <w:r w:rsidRPr="00B56534">
              <w:t>A letter of appreciation was sent from the hospital in Haiti.</w:t>
            </w:r>
          </w:p>
        </w:tc>
        <w:tc>
          <w:tcPr>
            <w:tcW w:w="299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6534" w:rsidRPr="00B56534" w:rsidRDefault="00B56534" w:rsidP="00FE24C2">
            <w:r w:rsidRPr="00B56534">
              <w:t>The operating room is a department ripe with opportunities for waste reduction.</w:t>
            </w:r>
            <w:r w:rsidR="0061330F" w:rsidRPr="008E7862">
              <w:t xml:space="preserve"> </w:t>
            </w:r>
            <w:r w:rsidRPr="00B56534">
              <w:t>A waste team could be developed to realize the benefits of waste reduction.</w:t>
            </w:r>
          </w:p>
        </w:tc>
      </w:tr>
      <w:tr w:rsidR="008E7862" w:rsidRPr="00B56534" w:rsidTr="0012777A">
        <w:tc>
          <w:tcPr>
            <w:tcW w:w="1872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6534" w:rsidRPr="00950FEF" w:rsidRDefault="00B56534" w:rsidP="00FE24C2">
            <w:pPr>
              <w:rPr>
                <w:i/>
              </w:rPr>
            </w:pPr>
            <w:r w:rsidRPr="00950FEF">
              <w:rPr>
                <w:i/>
              </w:rPr>
              <w:t>Example</w:t>
            </w:r>
            <w:r w:rsidR="00BB4D9D" w:rsidRPr="00950FEF">
              <w:rPr>
                <w:i/>
              </w:rPr>
              <w:t xml:space="preserve"> 2</w:t>
            </w:r>
            <w:r w:rsidRPr="00950FEF">
              <w:rPr>
                <w:i/>
              </w:rPr>
              <w:t>:</w:t>
            </w:r>
          </w:p>
          <w:p w:rsidR="00B56534" w:rsidRPr="00BB4D9D" w:rsidRDefault="00B56534" w:rsidP="00FE24C2">
            <w:pPr>
              <w:rPr>
                <w:b/>
              </w:rPr>
            </w:pPr>
            <w:r w:rsidRPr="00BB4D9D">
              <w:rPr>
                <w:b/>
              </w:rPr>
              <w:t xml:space="preserve">Energy Conservation </w:t>
            </w:r>
          </w:p>
        </w:tc>
        <w:tc>
          <w:tcPr>
            <w:tcW w:w="299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6534" w:rsidRPr="00B56534" w:rsidRDefault="00B56534" w:rsidP="00FE24C2">
            <w:r w:rsidRPr="00B56534">
              <w:t xml:space="preserve">Hospital X joined </w:t>
            </w:r>
            <w:r w:rsidR="00F27D26" w:rsidRPr="00B56534">
              <w:t xml:space="preserve">ENERGY STAR </w:t>
            </w:r>
            <w:r w:rsidRPr="00B56534">
              <w:t>after learning about it at a free conf</w:t>
            </w:r>
            <w:r w:rsidR="0061330F" w:rsidRPr="008E7862">
              <w:t xml:space="preserve">erence call put </w:t>
            </w:r>
            <w:r w:rsidR="0061330F" w:rsidRPr="00FE24C2">
              <w:t xml:space="preserve">on by The EPA. </w:t>
            </w:r>
            <w:r w:rsidRPr="00FE24C2">
              <w:t>They did a lighting upgr</w:t>
            </w:r>
            <w:r w:rsidR="0061330F" w:rsidRPr="00FE24C2">
              <w:t xml:space="preserve">ade with some utility rebates. </w:t>
            </w:r>
            <w:r w:rsidRPr="00FE24C2">
              <w:t>They also upgraded some equipment and are thinking about a turn off your lights campaign.</w:t>
            </w:r>
          </w:p>
        </w:tc>
        <w:tc>
          <w:tcPr>
            <w:tcW w:w="299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6534" w:rsidRPr="00B56534" w:rsidRDefault="00F27D26" w:rsidP="00FE24C2">
            <w:r w:rsidRPr="00B56534">
              <w:t xml:space="preserve">ENERGY STAR </w:t>
            </w:r>
            <w:r w:rsidR="00B56534" w:rsidRPr="00B56534">
              <w:t>Score went from a 32 to a 35.</w:t>
            </w:r>
            <w:r w:rsidR="0061330F" w:rsidRPr="008E7862">
              <w:t xml:space="preserve"> </w:t>
            </w:r>
            <w:r w:rsidR="00B56534" w:rsidRPr="00B56534">
              <w:t>Estimated return on investment is $3,000 per year.</w:t>
            </w:r>
          </w:p>
        </w:tc>
        <w:tc>
          <w:tcPr>
            <w:tcW w:w="2993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6534" w:rsidRPr="00B56534" w:rsidRDefault="00B56534" w:rsidP="00FE24C2">
            <w:r w:rsidRPr="00B56534">
              <w:t>An energy audit would identify numerous energy conservation opportunities and Practice Greenhealth gives awards to hospitals for their energy reduction success.</w:t>
            </w:r>
          </w:p>
        </w:tc>
      </w:tr>
      <w:tr w:rsidR="0061330F" w:rsidRPr="008E7862" w:rsidTr="0012777A">
        <w:trPr>
          <w:trHeight w:val="720"/>
        </w:trPr>
        <w:tc>
          <w:tcPr>
            <w:tcW w:w="187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1330F" w:rsidRPr="008E7862" w:rsidRDefault="0061330F" w:rsidP="00FE24C2"/>
        </w:tc>
        <w:tc>
          <w:tcPr>
            <w:tcW w:w="29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1330F" w:rsidRPr="008E7862" w:rsidRDefault="0061330F" w:rsidP="00FE24C2"/>
        </w:tc>
        <w:tc>
          <w:tcPr>
            <w:tcW w:w="29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1330F" w:rsidRPr="008E7862" w:rsidRDefault="0061330F" w:rsidP="00FE24C2"/>
        </w:tc>
        <w:tc>
          <w:tcPr>
            <w:tcW w:w="29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1330F" w:rsidRPr="008E7862" w:rsidRDefault="0061330F" w:rsidP="00FE24C2"/>
        </w:tc>
      </w:tr>
      <w:tr w:rsidR="0061330F" w:rsidRPr="008E7862" w:rsidTr="0012777A">
        <w:trPr>
          <w:trHeight w:val="720"/>
        </w:trPr>
        <w:tc>
          <w:tcPr>
            <w:tcW w:w="187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1330F" w:rsidRPr="008E7862" w:rsidRDefault="0061330F" w:rsidP="00FE24C2"/>
        </w:tc>
        <w:tc>
          <w:tcPr>
            <w:tcW w:w="29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1330F" w:rsidRPr="008E7862" w:rsidRDefault="0061330F" w:rsidP="00FE24C2"/>
        </w:tc>
        <w:tc>
          <w:tcPr>
            <w:tcW w:w="29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1330F" w:rsidRPr="008E7862" w:rsidRDefault="0061330F" w:rsidP="00FE24C2"/>
        </w:tc>
        <w:tc>
          <w:tcPr>
            <w:tcW w:w="29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1330F" w:rsidRPr="008E7862" w:rsidRDefault="0061330F" w:rsidP="00FE24C2"/>
        </w:tc>
      </w:tr>
      <w:tr w:rsidR="00915B00" w:rsidRPr="008E7862" w:rsidTr="0012777A">
        <w:trPr>
          <w:trHeight w:val="720"/>
        </w:trPr>
        <w:tc>
          <w:tcPr>
            <w:tcW w:w="187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5B00" w:rsidRPr="008E7862" w:rsidRDefault="00915B00" w:rsidP="00FE24C2"/>
        </w:tc>
        <w:tc>
          <w:tcPr>
            <w:tcW w:w="29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5B00" w:rsidRPr="008E7862" w:rsidRDefault="00915B00" w:rsidP="00FE24C2"/>
        </w:tc>
        <w:tc>
          <w:tcPr>
            <w:tcW w:w="29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5B00" w:rsidRPr="008E7862" w:rsidRDefault="00915B00" w:rsidP="00FE24C2"/>
        </w:tc>
        <w:tc>
          <w:tcPr>
            <w:tcW w:w="29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5B00" w:rsidRPr="008E7862" w:rsidRDefault="00915B00" w:rsidP="00FE24C2"/>
        </w:tc>
      </w:tr>
      <w:tr w:rsidR="00915B00" w:rsidRPr="008E7862" w:rsidTr="0012777A">
        <w:trPr>
          <w:trHeight w:val="720"/>
        </w:trPr>
        <w:tc>
          <w:tcPr>
            <w:tcW w:w="187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5B00" w:rsidRPr="008E7862" w:rsidRDefault="00915B00" w:rsidP="00FE24C2"/>
        </w:tc>
        <w:tc>
          <w:tcPr>
            <w:tcW w:w="29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5B00" w:rsidRPr="008E7862" w:rsidRDefault="00915B00" w:rsidP="00FE24C2"/>
        </w:tc>
        <w:tc>
          <w:tcPr>
            <w:tcW w:w="29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5B00" w:rsidRPr="008E7862" w:rsidRDefault="00915B00" w:rsidP="00FE24C2"/>
        </w:tc>
        <w:tc>
          <w:tcPr>
            <w:tcW w:w="29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5B00" w:rsidRPr="008E7862" w:rsidRDefault="00915B00" w:rsidP="00FE24C2"/>
        </w:tc>
      </w:tr>
      <w:tr w:rsidR="00915B00" w:rsidRPr="008E7862" w:rsidTr="0012777A">
        <w:trPr>
          <w:trHeight w:val="720"/>
        </w:trPr>
        <w:tc>
          <w:tcPr>
            <w:tcW w:w="187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5B00" w:rsidRPr="008E7862" w:rsidRDefault="00915B00" w:rsidP="00FE24C2"/>
        </w:tc>
        <w:tc>
          <w:tcPr>
            <w:tcW w:w="29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5B00" w:rsidRPr="008E7862" w:rsidRDefault="00915B00" w:rsidP="00FE24C2"/>
        </w:tc>
        <w:tc>
          <w:tcPr>
            <w:tcW w:w="29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5B00" w:rsidRPr="008E7862" w:rsidRDefault="00915B00" w:rsidP="00FE24C2"/>
        </w:tc>
        <w:tc>
          <w:tcPr>
            <w:tcW w:w="29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15B00" w:rsidRPr="008E7862" w:rsidRDefault="00915B00" w:rsidP="00FE24C2"/>
        </w:tc>
      </w:tr>
      <w:tr w:rsidR="006D176C" w:rsidRPr="008E7862" w:rsidTr="0012777A">
        <w:trPr>
          <w:trHeight w:val="720"/>
        </w:trPr>
        <w:tc>
          <w:tcPr>
            <w:tcW w:w="187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D176C" w:rsidRPr="008E7862" w:rsidRDefault="006D176C" w:rsidP="00FE24C2"/>
        </w:tc>
        <w:tc>
          <w:tcPr>
            <w:tcW w:w="29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D176C" w:rsidRPr="008E7862" w:rsidRDefault="006D176C" w:rsidP="00FE24C2"/>
        </w:tc>
        <w:tc>
          <w:tcPr>
            <w:tcW w:w="29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D176C" w:rsidRPr="008E7862" w:rsidRDefault="006D176C" w:rsidP="00FE24C2"/>
        </w:tc>
        <w:tc>
          <w:tcPr>
            <w:tcW w:w="29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D176C" w:rsidRPr="008E7862" w:rsidRDefault="006D176C" w:rsidP="00FE24C2"/>
        </w:tc>
      </w:tr>
    </w:tbl>
    <w:p w:rsidR="00714D5D" w:rsidRDefault="00714D5D" w:rsidP="00FE24C2"/>
    <w:sectPr w:rsidR="00714D5D" w:rsidSect="00171615">
      <w:pgSz w:w="12240" w:h="15840"/>
      <w:pgMar w:top="25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E9" w:rsidRDefault="007C1DE9" w:rsidP="00FE24C2">
      <w:r>
        <w:separator/>
      </w:r>
    </w:p>
  </w:endnote>
  <w:endnote w:type="continuationSeparator" w:id="0">
    <w:p w:rsidR="007C1DE9" w:rsidRDefault="007C1DE9" w:rsidP="00FE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E9" w:rsidRDefault="007C1DE9" w:rsidP="00FE24C2">
      <w:r>
        <w:separator/>
      </w:r>
    </w:p>
  </w:footnote>
  <w:footnote w:type="continuationSeparator" w:id="0">
    <w:p w:rsidR="007C1DE9" w:rsidRDefault="007C1DE9" w:rsidP="00FE2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34"/>
    <w:rsid w:val="00004410"/>
    <w:rsid w:val="0012777A"/>
    <w:rsid w:val="00171615"/>
    <w:rsid w:val="001B0A31"/>
    <w:rsid w:val="001F56DA"/>
    <w:rsid w:val="002270F2"/>
    <w:rsid w:val="004C21D9"/>
    <w:rsid w:val="004D6594"/>
    <w:rsid w:val="0050232C"/>
    <w:rsid w:val="0061330F"/>
    <w:rsid w:val="006D176C"/>
    <w:rsid w:val="00714D5D"/>
    <w:rsid w:val="00717F83"/>
    <w:rsid w:val="007236BB"/>
    <w:rsid w:val="007C1DE9"/>
    <w:rsid w:val="00841399"/>
    <w:rsid w:val="00861F47"/>
    <w:rsid w:val="008E6A94"/>
    <w:rsid w:val="008E7862"/>
    <w:rsid w:val="00913FFB"/>
    <w:rsid w:val="00915B00"/>
    <w:rsid w:val="00950FEF"/>
    <w:rsid w:val="00A077B2"/>
    <w:rsid w:val="00B02960"/>
    <w:rsid w:val="00B56534"/>
    <w:rsid w:val="00BB4D9D"/>
    <w:rsid w:val="00C23148"/>
    <w:rsid w:val="00C35CFE"/>
    <w:rsid w:val="00CF3B61"/>
    <w:rsid w:val="00F27D26"/>
    <w:rsid w:val="00F40136"/>
    <w:rsid w:val="00F700FB"/>
    <w:rsid w:val="00F85D1A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C2"/>
    <w:pPr>
      <w:spacing w:before="120" w:after="0" w:line="288" w:lineRule="auto"/>
    </w:pPr>
    <w:rPr>
      <w:rFonts w:ascii="Arial" w:eastAsia="Times New Roman" w:hAnsi="Arial" w:cs="Arial"/>
      <w:color w:val="404040" w:themeColor="text1" w:themeTint="BF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4C2"/>
    <w:pPr>
      <w:keepNext/>
      <w:keepLines/>
      <w:outlineLvl w:val="0"/>
    </w:pPr>
    <w:rPr>
      <w:b/>
      <w:bCs/>
      <w:noProof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5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7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B2"/>
  </w:style>
  <w:style w:type="paragraph" w:styleId="Footer">
    <w:name w:val="footer"/>
    <w:basedOn w:val="Normal"/>
    <w:link w:val="FooterChar"/>
    <w:uiPriority w:val="99"/>
    <w:unhideWhenUsed/>
    <w:rsid w:val="00A077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7B2"/>
  </w:style>
  <w:style w:type="character" w:customStyle="1" w:styleId="Heading1Char">
    <w:name w:val="Heading 1 Char"/>
    <w:basedOn w:val="DefaultParagraphFont"/>
    <w:link w:val="Heading1"/>
    <w:uiPriority w:val="9"/>
    <w:rsid w:val="00FE24C2"/>
    <w:rPr>
      <w:rFonts w:ascii="Arial" w:eastAsia="Times New Roman" w:hAnsi="Arial" w:cs="Arial"/>
      <w:b/>
      <w:bCs/>
      <w:noProof/>
      <w:color w:val="404040" w:themeColor="text1" w:themeTint="BF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C2"/>
    <w:pPr>
      <w:spacing w:before="120" w:after="0" w:line="288" w:lineRule="auto"/>
    </w:pPr>
    <w:rPr>
      <w:rFonts w:ascii="Arial" w:eastAsia="Times New Roman" w:hAnsi="Arial" w:cs="Arial"/>
      <w:color w:val="404040" w:themeColor="text1" w:themeTint="BF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4C2"/>
    <w:pPr>
      <w:keepNext/>
      <w:keepLines/>
      <w:outlineLvl w:val="0"/>
    </w:pPr>
    <w:rPr>
      <w:b/>
      <w:bCs/>
      <w:noProof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5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7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7B2"/>
  </w:style>
  <w:style w:type="paragraph" w:styleId="Footer">
    <w:name w:val="footer"/>
    <w:basedOn w:val="Normal"/>
    <w:link w:val="FooterChar"/>
    <w:uiPriority w:val="99"/>
    <w:unhideWhenUsed/>
    <w:rsid w:val="00A077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7B2"/>
  </w:style>
  <w:style w:type="character" w:customStyle="1" w:styleId="Heading1Char">
    <w:name w:val="Heading 1 Char"/>
    <w:basedOn w:val="DefaultParagraphFont"/>
    <w:link w:val="Heading1"/>
    <w:uiPriority w:val="9"/>
    <w:rsid w:val="00FE24C2"/>
    <w:rPr>
      <w:rFonts w:ascii="Arial" w:eastAsia="Times New Roman" w:hAnsi="Arial" w:cs="Arial"/>
      <w:b/>
      <w:bCs/>
      <w:noProof/>
      <w:color w:val="404040" w:themeColor="text1" w:themeTint="BF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7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Conway</dc:creator>
  <cp:lastModifiedBy>Janet</cp:lastModifiedBy>
  <cp:revision>2</cp:revision>
  <dcterms:created xsi:type="dcterms:W3CDTF">2016-01-06T02:13:00Z</dcterms:created>
  <dcterms:modified xsi:type="dcterms:W3CDTF">2016-01-06T02:13:00Z</dcterms:modified>
</cp:coreProperties>
</file>