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34" w:rsidRPr="00FE24C2" w:rsidRDefault="00F700FB" w:rsidP="00FE24C2">
      <w:pPr>
        <w:pStyle w:val="Heading1"/>
      </w:pPr>
      <w:bookmarkStart w:id="0" w:name="_GoBack"/>
      <w:bookmarkEnd w:id="0"/>
      <w:r w:rsidRPr="00FE24C2">
        <w:drawing>
          <wp:anchor distT="0" distB="0" distL="114300" distR="114300" simplePos="0" relativeHeight="251658240" behindDoc="1" locked="0" layoutInCell="0" allowOverlap="1" wp14:anchorId="4F2A361D" wp14:editId="216AD5C5">
            <wp:simplePos x="457200" y="1828800"/>
            <wp:positionH relativeFrom="page">
              <wp:align>left</wp:align>
            </wp:positionH>
            <wp:positionV relativeFrom="page">
              <wp:align>top</wp:align>
            </wp:positionV>
            <wp:extent cx="7772400" cy="12618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the Case - Level 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261872"/>
                    </a:xfrm>
                    <a:prstGeom prst="rect">
                      <a:avLst/>
                    </a:prstGeom>
                  </pic:spPr>
                </pic:pic>
              </a:graphicData>
            </a:graphic>
            <wp14:sizeRelH relativeFrom="margin">
              <wp14:pctWidth>0</wp14:pctWidth>
            </wp14:sizeRelH>
            <wp14:sizeRelV relativeFrom="margin">
              <wp14:pctHeight>0</wp14:pctHeight>
            </wp14:sizeRelV>
          </wp:anchor>
        </w:drawing>
      </w:r>
      <w:r w:rsidR="00892888" w:rsidRPr="00892888">
        <w:t>Champion Worksheet</w:t>
      </w:r>
    </w:p>
    <w:p w:rsidR="00B56534" w:rsidRPr="00841399" w:rsidRDefault="00892888" w:rsidP="00841399">
      <w:pPr>
        <w:spacing w:after="240"/>
        <w:rPr>
          <w:sz w:val="24"/>
          <w:szCs w:val="24"/>
        </w:rPr>
      </w:pPr>
      <w:r w:rsidRPr="00892888">
        <w:rPr>
          <w:b/>
          <w:sz w:val="20"/>
        </w:rPr>
        <w:t>Use this form to identify key stakeholders to flesh out alignment, successes, champions and other lessons-learned to build the case.</w:t>
      </w:r>
      <w:r w:rsidRPr="00892888">
        <w:rPr>
          <w:sz w:val="20"/>
        </w:rPr>
        <w:t xml:space="preserve"> Key departments are listed with topics that could be used to aid in discussion. Some successes may not be realized unless the conversation is started. For example, some successes may be viewed as standard operating procedure or regulatory compliance. The Discussion Points may help in capturing these activities and making the connection to healthier environments. Even if the success was achieved a few years ago, its value remains - capture it! Use the Sharing Success Worksheet to capture data and story behind each success</w:t>
      </w:r>
      <w:r w:rsidR="00B56534" w:rsidRPr="00841399">
        <w:rPr>
          <w:sz w:val="20"/>
        </w:rPr>
        <w:t>.</w:t>
      </w:r>
    </w:p>
    <w:tbl>
      <w:tblPr>
        <w:tblW w:w="10800" w:type="dxa"/>
        <w:tblBorders>
          <w:top w:val="single" w:sz="4" w:space="0" w:color="B6DB85"/>
          <w:left w:val="single" w:sz="4" w:space="0" w:color="B6DB85"/>
          <w:bottom w:val="single" w:sz="4" w:space="0" w:color="B6DB85"/>
          <w:right w:val="single" w:sz="4" w:space="0" w:color="B6DB85"/>
          <w:insideH w:val="single" w:sz="4" w:space="0" w:color="B6DB85"/>
          <w:insideV w:val="single" w:sz="4" w:space="0" w:color="B6DB85"/>
        </w:tblBorders>
        <w:tblLayout w:type="fixed"/>
        <w:tblCellMar>
          <w:top w:w="29" w:type="dxa"/>
          <w:left w:w="29" w:type="dxa"/>
          <w:bottom w:w="29" w:type="dxa"/>
          <w:right w:w="29" w:type="dxa"/>
        </w:tblCellMar>
        <w:tblLook w:val="04A0" w:firstRow="1" w:lastRow="0" w:firstColumn="1" w:lastColumn="0" w:noHBand="0" w:noVBand="1"/>
      </w:tblPr>
      <w:tblGrid>
        <w:gridCol w:w="2696"/>
        <w:gridCol w:w="4052"/>
        <w:gridCol w:w="4052"/>
      </w:tblGrid>
      <w:tr w:rsidR="00892888" w:rsidRPr="00FE24C2" w:rsidTr="008948C0">
        <w:tc>
          <w:tcPr>
            <w:tcW w:w="2696" w:type="dxa"/>
            <w:shd w:val="clear" w:color="auto" w:fill="8DC63F"/>
            <w:tcMar>
              <w:top w:w="0" w:type="dxa"/>
              <w:left w:w="120" w:type="dxa"/>
              <w:bottom w:w="0" w:type="dxa"/>
              <w:right w:w="120" w:type="dxa"/>
            </w:tcMar>
            <w:hideMark/>
          </w:tcPr>
          <w:p w:rsidR="00892888" w:rsidRPr="00FE24C2" w:rsidRDefault="00892888" w:rsidP="008948C0">
            <w:pPr>
              <w:rPr>
                <w:b/>
                <w:color w:val="FFFFFF" w:themeColor="background1"/>
                <w:sz w:val="20"/>
              </w:rPr>
            </w:pPr>
            <w:r>
              <w:rPr>
                <w:b/>
                <w:color w:val="FFFFFF" w:themeColor="background1"/>
              </w:rPr>
              <w:t>Contact Name, T</w:t>
            </w:r>
            <w:r w:rsidRPr="00892888">
              <w:rPr>
                <w:b/>
                <w:color w:val="FFFFFF" w:themeColor="background1"/>
              </w:rPr>
              <w:t>itle,</w:t>
            </w:r>
            <w:r w:rsidR="008948C0">
              <w:rPr>
                <w:b/>
                <w:color w:val="FFFFFF" w:themeColor="background1"/>
              </w:rPr>
              <w:t xml:space="preserve"> </w:t>
            </w:r>
            <w:r w:rsidR="008948C0">
              <w:rPr>
                <w:b/>
                <w:color w:val="FFFFFF" w:themeColor="background1"/>
              </w:rPr>
              <w:br/>
            </w:r>
            <w:r w:rsidRPr="00892888">
              <w:rPr>
                <w:b/>
                <w:color w:val="FFFFFF" w:themeColor="background1"/>
              </w:rPr>
              <w:t>Email, Phone</w:t>
            </w:r>
          </w:p>
        </w:tc>
        <w:tc>
          <w:tcPr>
            <w:tcW w:w="4052" w:type="dxa"/>
            <w:shd w:val="clear" w:color="auto" w:fill="8DC63F"/>
            <w:tcMar>
              <w:top w:w="0" w:type="dxa"/>
              <w:left w:w="120" w:type="dxa"/>
              <w:bottom w:w="0" w:type="dxa"/>
              <w:right w:w="120" w:type="dxa"/>
            </w:tcMar>
            <w:hideMark/>
          </w:tcPr>
          <w:p w:rsidR="00892888" w:rsidRPr="00FE24C2" w:rsidRDefault="00892888" w:rsidP="00FE24C2">
            <w:pPr>
              <w:rPr>
                <w:b/>
                <w:color w:val="FFFFFF" w:themeColor="background1"/>
                <w:sz w:val="20"/>
              </w:rPr>
            </w:pPr>
            <w:r w:rsidRPr="00892888">
              <w:rPr>
                <w:b/>
                <w:color w:val="FFFFFF" w:themeColor="background1"/>
              </w:rPr>
              <w:t>Discussion Points to Tease Out Successes</w:t>
            </w:r>
          </w:p>
        </w:tc>
        <w:tc>
          <w:tcPr>
            <w:tcW w:w="4052" w:type="dxa"/>
            <w:shd w:val="clear" w:color="auto" w:fill="8DC63F"/>
            <w:tcMar>
              <w:top w:w="0" w:type="dxa"/>
              <w:left w:w="120" w:type="dxa"/>
              <w:bottom w:w="0" w:type="dxa"/>
              <w:right w:w="120" w:type="dxa"/>
            </w:tcMar>
            <w:hideMark/>
          </w:tcPr>
          <w:p w:rsidR="00892888" w:rsidRPr="00FE24C2" w:rsidRDefault="00892888" w:rsidP="009466E8">
            <w:pPr>
              <w:rPr>
                <w:b/>
                <w:color w:val="FFFFFF" w:themeColor="background1"/>
                <w:sz w:val="20"/>
              </w:rPr>
            </w:pPr>
            <w:r>
              <w:rPr>
                <w:b/>
                <w:color w:val="FFFFFF" w:themeColor="background1"/>
              </w:rPr>
              <w:t>Outcomes</w:t>
            </w:r>
            <w:r w:rsidR="009466E8">
              <w:rPr>
                <w:b/>
                <w:color w:val="FFFFFF" w:themeColor="background1"/>
              </w:rPr>
              <w:br/>
            </w:r>
            <w:r w:rsidR="009466E8" w:rsidRPr="00FE24C2">
              <w:rPr>
                <w:b/>
                <w:color w:val="FFFFFF" w:themeColor="background1"/>
                <w:sz w:val="14"/>
              </w:rPr>
              <w:t>(</w:t>
            </w:r>
            <w:r w:rsidR="009466E8" w:rsidRPr="009466E8">
              <w:rPr>
                <w:b/>
                <w:color w:val="FFFFFF" w:themeColor="background1"/>
                <w:sz w:val="14"/>
              </w:rPr>
              <w:t>cost savings</w:t>
            </w:r>
            <w:r w:rsidR="009466E8">
              <w:rPr>
                <w:b/>
                <w:color w:val="FFFFFF" w:themeColor="background1"/>
                <w:sz w:val="14"/>
              </w:rPr>
              <w:t xml:space="preserve">, </w:t>
            </w:r>
            <w:r w:rsidR="009466E8" w:rsidRPr="009466E8">
              <w:rPr>
                <w:b/>
                <w:color w:val="FFFFFF" w:themeColor="background1"/>
                <w:sz w:val="14"/>
              </w:rPr>
              <w:t>health outcomes</w:t>
            </w:r>
            <w:r w:rsidR="009466E8">
              <w:rPr>
                <w:b/>
                <w:color w:val="FFFFFF" w:themeColor="background1"/>
                <w:sz w:val="14"/>
              </w:rPr>
              <w:t xml:space="preserve">, </w:t>
            </w:r>
            <w:r w:rsidR="009466E8" w:rsidRPr="009466E8">
              <w:rPr>
                <w:b/>
                <w:color w:val="FFFFFF" w:themeColor="background1"/>
                <w:sz w:val="14"/>
              </w:rPr>
              <w:t>environmental outcomes</w:t>
            </w:r>
            <w:r w:rsidR="009466E8">
              <w:rPr>
                <w:b/>
                <w:color w:val="FFFFFF" w:themeColor="background1"/>
                <w:sz w:val="14"/>
              </w:rPr>
              <w:t xml:space="preserve">, </w:t>
            </w:r>
            <w:r w:rsidR="009466E8" w:rsidRPr="009466E8">
              <w:rPr>
                <w:b/>
                <w:color w:val="FFFFFF" w:themeColor="background1"/>
                <w:sz w:val="14"/>
              </w:rPr>
              <w:t>safety outcomes</w:t>
            </w:r>
            <w:r w:rsidR="009466E8">
              <w:rPr>
                <w:b/>
                <w:color w:val="FFFFFF" w:themeColor="background1"/>
                <w:sz w:val="14"/>
              </w:rPr>
              <w:t xml:space="preserve">, </w:t>
            </w:r>
            <w:r w:rsidR="009466E8" w:rsidRPr="009466E8">
              <w:rPr>
                <w:b/>
                <w:color w:val="FFFFFF" w:themeColor="background1"/>
                <w:sz w:val="14"/>
              </w:rPr>
              <w:t>culture</w:t>
            </w:r>
            <w:r w:rsidR="009466E8">
              <w:rPr>
                <w:b/>
                <w:color w:val="FFFFFF" w:themeColor="background1"/>
                <w:sz w:val="14"/>
              </w:rPr>
              <w:t xml:space="preserve">, </w:t>
            </w:r>
            <w:r w:rsidR="009466E8" w:rsidRPr="009466E8">
              <w:rPr>
                <w:b/>
                <w:color w:val="FFFFFF" w:themeColor="background1"/>
                <w:sz w:val="14"/>
              </w:rPr>
              <w:t>mission demonstration</w:t>
            </w:r>
            <w:r w:rsidR="009466E8">
              <w:rPr>
                <w:b/>
                <w:color w:val="FFFFFF" w:themeColor="background1"/>
                <w:sz w:val="14"/>
              </w:rPr>
              <w:t xml:space="preserve">, </w:t>
            </w:r>
            <w:r w:rsidR="009466E8" w:rsidRPr="009466E8">
              <w:rPr>
                <w:b/>
                <w:color w:val="FFFFFF" w:themeColor="background1"/>
                <w:sz w:val="14"/>
              </w:rPr>
              <w:t>other measurable outcomes</w:t>
            </w:r>
            <w:r w:rsidR="009466E8">
              <w:rPr>
                <w:b/>
                <w:color w:val="FFFFFF" w:themeColor="background1"/>
                <w:sz w:val="14"/>
              </w:rPr>
              <w:t>)</w:t>
            </w:r>
          </w:p>
        </w:tc>
      </w:tr>
      <w:tr w:rsidR="00892888" w:rsidRPr="00B56534" w:rsidTr="008948C0">
        <w:tc>
          <w:tcPr>
            <w:tcW w:w="2696" w:type="dxa"/>
            <w:tcMar>
              <w:top w:w="0" w:type="dxa"/>
              <w:left w:w="120" w:type="dxa"/>
              <w:bottom w:w="0" w:type="dxa"/>
              <w:right w:w="120" w:type="dxa"/>
            </w:tcMar>
            <w:hideMark/>
          </w:tcPr>
          <w:p w:rsidR="00892888" w:rsidRPr="00BB4D9D" w:rsidRDefault="00892888" w:rsidP="00FE24C2">
            <w:pPr>
              <w:rPr>
                <w:i/>
              </w:rPr>
            </w:pPr>
            <w:r w:rsidRPr="00BB4D9D">
              <w:rPr>
                <w:i/>
              </w:rPr>
              <w:t>Example</w:t>
            </w:r>
            <w:r>
              <w:rPr>
                <w:i/>
              </w:rPr>
              <w:t xml:space="preserve"> </w:t>
            </w:r>
            <w:r w:rsidRPr="00BB4D9D">
              <w:rPr>
                <w:i/>
              </w:rPr>
              <w:t>1:</w:t>
            </w:r>
          </w:p>
          <w:p w:rsidR="00892888" w:rsidRPr="00BB4D9D" w:rsidRDefault="00892888" w:rsidP="00892888">
            <w:pPr>
              <w:rPr>
                <w:b/>
              </w:rPr>
            </w:pPr>
            <w:r w:rsidRPr="00892888">
              <w:t>Jim Brown</w:t>
            </w:r>
            <w:r>
              <w:t xml:space="preserve">, </w:t>
            </w:r>
            <w:r w:rsidRPr="00892888">
              <w:t>Director of Environmental Services</w:t>
            </w:r>
          </w:p>
        </w:tc>
        <w:tc>
          <w:tcPr>
            <w:tcW w:w="4052" w:type="dxa"/>
            <w:tcMar>
              <w:top w:w="0" w:type="dxa"/>
              <w:left w:w="120" w:type="dxa"/>
              <w:bottom w:w="0" w:type="dxa"/>
              <w:right w:w="120" w:type="dxa"/>
            </w:tcMar>
            <w:hideMark/>
          </w:tcPr>
          <w:p w:rsidR="00892888" w:rsidRPr="00B56534" w:rsidRDefault="00892888" w:rsidP="00FE24C2">
            <w:r w:rsidRPr="00892888">
              <w:t>Implemented a HIPAA compliant recycling program and corrugated box recycling</w:t>
            </w:r>
            <w:r w:rsidRPr="00B56534">
              <w:t>.</w:t>
            </w:r>
          </w:p>
        </w:tc>
        <w:tc>
          <w:tcPr>
            <w:tcW w:w="4052" w:type="dxa"/>
            <w:tcMar>
              <w:top w:w="0" w:type="dxa"/>
              <w:left w:w="120" w:type="dxa"/>
              <w:bottom w:w="0" w:type="dxa"/>
              <w:right w:w="120" w:type="dxa"/>
            </w:tcMar>
            <w:hideMark/>
          </w:tcPr>
          <w:p w:rsidR="00892888" w:rsidRDefault="00892888" w:rsidP="00892888">
            <w:r w:rsidRPr="00892888">
              <w:rPr>
                <w:b/>
              </w:rPr>
              <w:t>Environmental Outcome:</w:t>
            </w:r>
            <w:r>
              <w:br/>
              <w:t>2,500 pounds of corrugated is diverted from the landfill annually.</w:t>
            </w:r>
          </w:p>
          <w:p w:rsidR="00892888" w:rsidRPr="00B56534" w:rsidRDefault="00892888" w:rsidP="00892888">
            <w:r w:rsidRPr="00892888">
              <w:rPr>
                <w:b/>
              </w:rPr>
              <w:t>Regulatory and Environmental Outcome:</w:t>
            </w:r>
            <w:r>
              <w:br/>
              <w:t>HIPAA is a regulatory issue and all of the collected Protected Health Information is recycled - This diverts 1,500 pounds of waste from landfills annually.</w:t>
            </w:r>
          </w:p>
        </w:tc>
      </w:tr>
      <w:tr w:rsidR="00892888" w:rsidRPr="00B56534" w:rsidTr="008948C0">
        <w:tc>
          <w:tcPr>
            <w:tcW w:w="2696" w:type="dxa"/>
            <w:tcMar>
              <w:top w:w="0" w:type="dxa"/>
              <w:left w:w="120" w:type="dxa"/>
              <w:bottom w:w="0" w:type="dxa"/>
              <w:right w:w="120" w:type="dxa"/>
            </w:tcMar>
            <w:hideMark/>
          </w:tcPr>
          <w:p w:rsidR="00892888" w:rsidRPr="00950FEF" w:rsidRDefault="00892888" w:rsidP="00FE24C2">
            <w:pPr>
              <w:rPr>
                <w:i/>
              </w:rPr>
            </w:pPr>
            <w:r w:rsidRPr="00950FEF">
              <w:rPr>
                <w:i/>
              </w:rPr>
              <w:t>Example 2:</w:t>
            </w:r>
          </w:p>
          <w:p w:rsidR="00892888" w:rsidRPr="00892888" w:rsidRDefault="00892888" w:rsidP="00892888">
            <w:r w:rsidRPr="00892888">
              <w:t xml:space="preserve">Purchasing and </w:t>
            </w:r>
            <w:r>
              <w:t>s</w:t>
            </w:r>
            <w:r w:rsidRPr="00892888">
              <w:t>upply chain</w:t>
            </w:r>
          </w:p>
        </w:tc>
        <w:tc>
          <w:tcPr>
            <w:tcW w:w="4052" w:type="dxa"/>
            <w:tcMar>
              <w:top w:w="0" w:type="dxa"/>
              <w:left w:w="120" w:type="dxa"/>
              <w:bottom w:w="0" w:type="dxa"/>
              <w:right w:w="120" w:type="dxa"/>
            </w:tcMar>
            <w:hideMark/>
          </w:tcPr>
          <w:p w:rsidR="00892888" w:rsidRDefault="00892888" w:rsidP="00892888">
            <w:r>
              <w:t>Waste management, recycling, single use device reprocessing, energy/water conservation, environmentally preferred products and services, green cleaners, building commissioning, electric vehicles, take-back programs and work with Group Purchasing Organizations, to name a few.</w:t>
            </w:r>
          </w:p>
          <w:p w:rsidR="00892888" w:rsidRPr="00B56534" w:rsidRDefault="00892888" w:rsidP="00892888">
            <w:r>
              <w:t>What have been challenges in purchasing that sustainability might help accomplish?</w:t>
            </w:r>
          </w:p>
        </w:tc>
        <w:tc>
          <w:tcPr>
            <w:tcW w:w="4052" w:type="dxa"/>
            <w:tcMar>
              <w:top w:w="0" w:type="dxa"/>
              <w:left w:w="120" w:type="dxa"/>
              <w:bottom w:w="0" w:type="dxa"/>
              <w:right w:w="120" w:type="dxa"/>
            </w:tcMar>
            <w:hideMark/>
          </w:tcPr>
          <w:p w:rsidR="00892888" w:rsidRPr="00B56534" w:rsidRDefault="00892888" w:rsidP="00C621AC"/>
        </w:tc>
      </w:tr>
      <w:tr w:rsidR="00892888" w:rsidRPr="008E7862" w:rsidTr="008948C0">
        <w:trPr>
          <w:trHeight w:val="720"/>
        </w:trPr>
        <w:tc>
          <w:tcPr>
            <w:tcW w:w="2696" w:type="dxa"/>
            <w:tcMar>
              <w:top w:w="0" w:type="dxa"/>
              <w:left w:w="120" w:type="dxa"/>
              <w:bottom w:w="0" w:type="dxa"/>
              <w:right w:w="120" w:type="dxa"/>
            </w:tcMar>
          </w:tcPr>
          <w:p w:rsidR="00892888" w:rsidRPr="00A1092F" w:rsidRDefault="00892888" w:rsidP="00D7507C">
            <w:r w:rsidRPr="00A1092F">
              <w:t>Facilities Management &amp; Energy/Water Management</w:t>
            </w:r>
          </w:p>
        </w:tc>
        <w:tc>
          <w:tcPr>
            <w:tcW w:w="4052" w:type="dxa"/>
            <w:tcMar>
              <w:top w:w="0" w:type="dxa"/>
              <w:left w:w="120" w:type="dxa"/>
              <w:bottom w:w="0" w:type="dxa"/>
              <w:right w:w="120" w:type="dxa"/>
            </w:tcMar>
          </w:tcPr>
          <w:p w:rsidR="00892888" w:rsidRPr="00A1092F" w:rsidRDefault="00892888" w:rsidP="00D7507C">
            <w:r w:rsidRPr="00A1092F">
              <w:t>Energy Star or other measurement tool for tracking energy and water performance. Has there been success in energy and water conservation?</w:t>
            </w:r>
          </w:p>
        </w:tc>
        <w:tc>
          <w:tcPr>
            <w:tcW w:w="4052" w:type="dxa"/>
            <w:tcMar>
              <w:top w:w="0" w:type="dxa"/>
              <w:left w:w="120" w:type="dxa"/>
              <w:bottom w:w="0" w:type="dxa"/>
              <w:right w:w="120" w:type="dxa"/>
            </w:tcMar>
          </w:tcPr>
          <w:p w:rsidR="00892888" w:rsidRPr="008E7862" w:rsidRDefault="00892888" w:rsidP="00FE24C2"/>
        </w:tc>
      </w:tr>
      <w:tr w:rsidR="00892888" w:rsidRPr="008E7862" w:rsidTr="008948C0">
        <w:trPr>
          <w:trHeight w:val="720"/>
        </w:trPr>
        <w:tc>
          <w:tcPr>
            <w:tcW w:w="2696" w:type="dxa"/>
            <w:tcMar>
              <w:top w:w="0" w:type="dxa"/>
              <w:left w:w="120" w:type="dxa"/>
              <w:bottom w:w="0" w:type="dxa"/>
              <w:right w:w="120" w:type="dxa"/>
            </w:tcMar>
          </w:tcPr>
          <w:p w:rsidR="00892888" w:rsidRPr="00A1092F" w:rsidRDefault="00892888" w:rsidP="00D7507C">
            <w:r w:rsidRPr="00A1092F">
              <w:t>Human Resources</w:t>
            </w:r>
          </w:p>
        </w:tc>
        <w:tc>
          <w:tcPr>
            <w:tcW w:w="4052" w:type="dxa"/>
            <w:tcMar>
              <w:top w:w="0" w:type="dxa"/>
              <w:left w:w="120" w:type="dxa"/>
              <w:bottom w:w="0" w:type="dxa"/>
              <w:right w:w="120" w:type="dxa"/>
            </w:tcMar>
          </w:tcPr>
          <w:p w:rsidR="00892888" w:rsidRPr="00A1092F" w:rsidRDefault="00892888" w:rsidP="00D7507C">
            <w:r w:rsidRPr="00A1092F">
              <w:t>Staff engagement, satisfaction and morale, wellness initiatives, staff training, retention</w:t>
            </w:r>
          </w:p>
        </w:tc>
        <w:tc>
          <w:tcPr>
            <w:tcW w:w="4052" w:type="dxa"/>
            <w:tcMar>
              <w:top w:w="0" w:type="dxa"/>
              <w:left w:w="120" w:type="dxa"/>
              <w:bottom w:w="0" w:type="dxa"/>
              <w:right w:w="120" w:type="dxa"/>
            </w:tcMar>
          </w:tcPr>
          <w:p w:rsidR="00892888" w:rsidRPr="008E7862" w:rsidRDefault="00892888" w:rsidP="00FE24C2"/>
        </w:tc>
      </w:tr>
      <w:tr w:rsidR="00892888" w:rsidRPr="008E7862" w:rsidTr="008948C0">
        <w:trPr>
          <w:trHeight w:val="720"/>
        </w:trPr>
        <w:tc>
          <w:tcPr>
            <w:tcW w:w="2696" w:type="dxa"/>
            <w:tcMar>
              <w:top w:w="0" w:type="dxa"/>
              <w:left w:w="120" w:type="dxa"/>
              <w:bottom w:w="0" w:type="dxa"/>
              <w:right w:w="120" w:type="dxa"/>
            </w:tcMar>
          </w:tcPr>
          <w:p w:rsidR="00892888" w:rsidRPr="00210124" w:rsidRDefault="00892888" w:rsidP="007276FF">
            <w:r w:rsidRPr="00210124">
              <w:t>Food and Nutrition</w:t>
            </w:r>
          </w:p>
        </w:tc>
        <w:tc>
          <w:tcPr>
            <w:tcW w:w="4052" w:type="dxa"/>
            <w:tcMar>
              <w:top w:w="0" w:type="dxa"/>
              <w:left w:w="120" w:type="dxa"/>
              <w:bottom w:w="0" w:type="dxa"/>
              <w:right w:w="120" w:type="dxa"/>
            </w:tcMar>
          </w:tcPr>
          <w:p w:rsidR="00892888" w:rsidRPr="00A1092F" w:rsidRDefault="00892888" w:rsidP="00D7507C">
            <w:r w:rsidRPr="00892888">
              <w:t>Wellness, healthier food, antibiotics and meat, local and sustainable, food service programs, sugar sweetened beverages, recycling, composting, education</w:t>
            </w:r>
          </w:p>
        </w:tc>
        <w:tc>
          <w:tcPr>
            <w:tcW w:w="4052" w:type="dxa"/>
            <w:tcMar>
              <w:top w:w="0" w:type="dxa"/>
              <w:left w:w="120" w:type="dxa"/>
              <w:bottom w:w="0" w:type="dxa"/>
              <w:right w:w="120" w:type="dxa"/>
            </w:tcMar>
          </w:tcPr>
          <w:p w:rsidR="00892888" w:rsidRPr="008E7862" w:rsidRDefault="00892888" w:rsidP="00FE24C2"/>
        </w:tc>
      </w:tr>
      <w:tr w:rsidR="00892888" w:rsidRPr="008E7862" w:rsidTr="008948C0">
        <w:trPr>
          <w:trHeight w:val="720"/>
        </w:trPr>
        <w:tc>
          <w:tcPr>
            <w:tcW w:w="2696" w:type="dxa"/>
            <w:tcMar>
              <w:top w:w="0" w:type="dxa"/>
              <w:left w:w="120" w:type="dxa"/>
              <w:bottom w:w="0" w:type="dxa"/>
              <w:right w:w="120" w:type="dxa"/>
            </w:tcMar>
          </w:tcPr>
          <w:p w:rsidR="00892888" w:rsidRDefault="00892888" w:rsidP="007276FF">
            <w:r w:rsidRPr="00210124">
              <w:t>Clinical Leader</w:t>
            </w:r>
          </w:p>
          <w:p w:rsidR="00892888" w:rsidRPr="00210124" w:rsidRDefault="00892888" w:rsidP="000F316A">
            <w:pPr>
              <w:spacing w:before="0"/>
            </w:pPr>
            <w:r w:rsidRPr="00892888">
              <w:rPr>
                <w:sz w:val="14"/>
              </w:rPr>
              <w:t xml:space="preserve">(i.e. community health, pediatrics, </w:t>
            </w:r>
            <w:r w:rsidR="000F316A">
              <w:rPr>
                <w:sz w:val="14"/>
              </w:rPr>
              <w:t>c</w:t>
            </w:r>
            <w:r w:rsidRPr="00892888">
              <w:rPr>
                <w:sz w:val="14"/>
              </w:rPr>
              <w:t xml:space="preserve">hief </w:t>
            </w:r>
            <w:r w:rsidR="000F316A">
              <w:rPr>
                <w:sz w:val="14"/>
              </w:rPr>
              <w:t>e</w:t>
            </w:r>
            <w:r w:rsidRPr="00892888">
              <w:rPr>
                <w:sz w:val="14"/>
              </w:rPr>
              <w:t xml:space="preserve">xperience </w:t>
            </w:r>
            <w:r w:rsidR="000F316A">
              <w:rPr>
                <w:sz w:val="14"/>
              </w:rPr>
              <w:t>o</w:t>
            </w:r>
            <w:r w:rsidRPr="00892888">
              <w:rPr>
                <w:sz w:val="14"/>
              </w:rPr>
              <w:t>fficer, CNO, CMO and other prevention experts)</w:t>
            </w:r>
          </w:p>
        </w:tc>
        <w:tc>
          <w:tcPr>
            <w:tcW w:w="4052" w:type="dxa"/>
            <w:tcMar>
              <w:top w:w="0" w:type="dxa"/>
              <w:left w:w="120" w:type="dxa"/>
              <w:bottom w:w="0" w:type="dxa"/>
              <w:right w:w="120" w:type="dxa"/>
            </w:tcMar>
          </w:tcPr>
          <w:p w:rsidR="00892888" w:rsidRPr="00A1092F" w:rsidRDefault="00892888" w:rsidP="00D7507C">
            <w:r w:rsidRPr="00892888">
              <w:t>Climate and public health, multi drug resistance, healthier food advocate, prevention, wellness, healthier food, safer materials, energy conservation</w:t>
            </w:r>
          </w:p>
        </w:tc>
        <w:tc>
          <w:tcPr>
            <w:tcW w:w="4052" w:type="dxa"/>
            <w:tcMar>
              <w:top w:w="0" w:type="dxa"/>
              <w:left w:w="120" w:type="dxa"/>
              <w:bottom w:w="0" w:type="dxa"/>
              <w:right w:w="120" w:type="dxa"/>
            </w:tcMar>
          </w:tcPr>
          <w:p w:rsidR="00892888" w:rsidRPr="008E7862" w:rsidRDefault="00892888" w:rsidP="00FE24C2"/>
        </w:tc>
      </w:tr>
      <w:tr w:rsidR="00892888" w:rsidRPr="008E7862" w:rsidTr="008948C0">
        <w:trPr>
          <w:trHeight w:val="720"/>
        </w:trPr>
        <w:tc>
          <w:tcPr>
            <w:tcW w:w="2696" w:type="dxa"/>
            <w:tcMar>
              <w:top w:w="0" w:type="dxa"/>
              <w:left w:w="120" w:type="dxa"/>
              <w:bottom w:w="0" w:type="dxa"/>
              <w:right w:w="120" w:type="dxa"/>
            </w:tcMar>
          </w:tcPr>
          <w:p w:rsidR="00892888" w:rsidRPr="00210124" w:rsidRDefault="00892888" w:rsidP="007276FF">
            <w:r w:rsidRPr="00210124">
              <w:lastRenderedPageBreak/>
              <w:t>Surgical Services</w:t>
            </w:r>
          </w:p>
        </w:tc>
        <w:tc>
          <w:tcPr>
            <w:tcW w:w="4052" w:type="dxa"/>
            <w:tcMar>
              <w:top w:w="0" w:type="dxa"/>
              <w:left w:w="120" w:type="dxa"/>
              <w:bottom w:w="0" w:type="dxa"/>
              <w:right w:w="120" w:type="dxa"/>
            </w:tcMar>
          </w:tcPr>
          <w:p w:rsidR="00892888" w:rsidRPr="00A1092F" w:rsidRDefault="00892888" w:rsidP="00D7507C">
            <w:r w:rsidRPr="00892888">
              <w:t>Eq</w:t>
            </w:r>
            <w:r w:rsidR="008948C0" w:rsidRPr="00FE24C2">
              <w:rPr>
                <w:noProof/>
              </w:rPr>
              <w:drawing>
                <wp:anchor distT="0" distB="0" distL="114300" distR="114300" simplePos="0" relativeHeight="251660288" behindDoc="1" locked="0" layoutInCell="0" allowOverlap="0" wp14:anchorId="7B415919" wp14:editId="1504187C">
                  <wp:simplePos x="0" y="0"/>
                  <wp:positionH relativeFrom="page">
                    <wp:align>left</wp:align>
                  </wp:positionH>
                  <wp:positionV relativeFrom="page">
                    <wp:align>top</wp:align>
                  </wp:positionV>
                  <wp:extent cx="7781544" cy="91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the Case - Level 1-01.jpg"/>
                          <pic:cNvPicPr/>
                        </pic:nvPicPr>
                        <pic:blipFill rotWithShape="1">
                          <a:blip r:embed="rId8" cstate="print">
                            <a:extLst>
                              <a:ext uri="{28A0092B-C50C-407E-A947-70E740481C1C}">
                                <a14:useLocalDpi xmlns:a14="http://schemas.microsoft.com/office/drawing/2010/main" val="0"/>
                              </a:ext>
                            </a:extLst>
                          </a:blip>
                          <a:srcRect t="27551"/>
                          <a:stretch/>
                        </pic:blipFill>
                        <pic:spPr bwMode="auto">
                          <a:xfrm>
                            <a:off x="0" y="0"/>
                            <a:ext cx="7781544" cy="91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888">
              <w:t>uipment donation, single use device reprocessing, LED Surgical Lighting, fluid management, red bag minimization, OR air-exchange set back, recycling, water conservation, reusable sterilization cases, red bag reduction</w:t>
            </w:r>
            <w:r>
              <w:t>.</w:t>
            </w:r>
          </w:p>
        </w:tc>
        <w:tc>
          <w:tcPr>
            <w:tcW w:w="4052" w:type="dxa"/>
            <w:tcMar>
              <w:top w:w="0" w:type="dxa"/>
              <w:left w:w="120" w:type="dxa"/>
              <w:bottom w:w="0" w:type="dxa"/>
              <w:right w:w="120" w:type="dxa"/>
            </w:tcMar>
          </w:tcPr>
          <w:p w:rsidR="00892888" w:rsidRPr="008E7862" w:rsidRDefault="00892888" w:rsidP="00FE24C2"/>
        </w:tc>
      </w:tr>
      <w:tr w:rsidR="00892888" w:rsidRPr="008E7862" w:rsidTr="008948C0">
        <w:trPr>
          <w:trHeight w:val="720"/>
        </w:trPr>
        <w:tc>
          <w:tcPr>
            <w:tcW w:w="2696" w:type="dxa"/>
            <w:tcMar>
              <w:top w:w="0" w:type="dxa"/>
              <w:left w:w="120" w:type="dxa"/>
              <w:bottom w:w="0" w:type="dxa"/>
              <w:right w:w="120" w:type="dxa"/>
            </w:tcMar>
          </w:tcPr>
          <w:p w:rsidR="00892888" w:rsidRPr="00210124" w:rsidRDefault="008948C0" w:rsidP="007276FF">
            <w:r w:rsidRPr="008948C0">
              <w:t>Environmental Services</w:t>
            </w:r>
          </w:p>
        </w:tc>
        <w:tc>
          <w:tcPr>
            <w:tcW w:w="4052" w:type="dxa"/>
            <w:tcMar>
              <w:top w:w="0" w:type="dxa"/>
              <w:left w:w="120" w:type="dxa"/>
              <w:bottom w:w="0" w:type="dxa"/>
              <w:right w:w="120" w:type="dxa"/>
            </w:tcMar>
          </w:tcPr>
          <w:p w:rsidR="00892888" w:rsidRPr="00A1092F" w:rsidRDefault="008948C0" w:rsidP="00D7507C">
            <w:r w:rsidRPr="008948C0">
              <w:t>Recycling, green cleaning, equipment donation, red bag reduction, spill response</w:t>
            </w:r>
          </w:p>
        </w:tc>
        <w:tc>
          <w:tcPr>
            <w:tcW w:w="4052" w:type="dxa"/>
            <w:tcMar>
              <w:top w:w="0" w:type="dxa"/>
              <w:left w:w="120" w:type="dxa"/>
              <w:bottom w:w="0" w:type="dxa"/>
              <w:right w:w="120" w:type="dxa"/>
            </w:tcMar>
          </w:tcPr>
          <w:p w:rsidR="00892888" w:rsidRPr="008E7862" w:rsidRDefault="00892888" w:rsidP="00FE24C2"/>
        </w:tc>
      </w:tr>
      <w:tr w:rsidR="008948C0" w:rsidRPr="008E7862" w:rsidTr="008948C0">
        <w:trPr>
          <w:trHeight w:val="720"/>
        </w:trPr>
        <w:tc>
          <w:tcPr>
            <w:tcW w:w="2696" w:type="dxa"/>
            <w:tcMar>
              <w:top w:w="0" w:type="dxa"/>
              <w:left w:w="120" w:type="dxa"/>
              <w:bottom w:w="0" w:type="dxa"/>
              <w:right w:w="120" w:type="dxa"/>
            </w:tcMar>
          </w:tcPr>
          <w:p w:rsidR="008948C0" w:rsidRDefault="008948C0" w:rsidP="008948C0">
            <w:r>
              <w:t>Others to consider:</w:t>
            </w:r>
          </w:p>
          <w:p w:rsidR="008948C0" w:rsidRDefault="008948C0" w:rsidP="008948C0">
            <w:pPr>
              <w:spacing w:before="60"/>
            </w:pPr>
            <w:r>
              <w:t>Ethics</w:t>
            </w:r>
          </w:p>
          <w:p w:rsidR="008948C0" w:rsidRDefault="008948C0" w:rsidP="008948C0">
            <w:pPr>
              <w:spacing w:before="60"/>
            </w:pPr>
            <w:r>
              <w:t>Community Benefit</w:t>
            </w:r>
          </w:p>
          <w:p w:rsidR="008948C0" w:rsidRDefault="008948C0" w:rsidP="008948C0">
            <w:pPr>
              <w:spacing w:before="60"/>
            </w:pPr>
            <w:r>
              <w:t>Safety/Risk/Regulatory Affairs</w:t>
            </w:r>
          </w:p>
          <w:p w:rsidR="008948C0" w:rsidRPr="008948C0" w:rsidRDefault="008948C0" w:rsidP="008948C0">
            <w:pPr>
              <w:spacing w:before="60"/>
            </w:pPr>
            <w:r>
              <w:t>Environment of Care Committee</w:t>
            </w:r>
          </w:p>
        </w:tc>
        <w:tc>
          <w:tcPr>
            <w:tcW w:w="4052" w:type="dxa"/>
            <w:tcMar>
              <w:top w:w="0" w:type="dxa"/>
              <w:left w:w="120" w:type="dxa"/>
              <w:bottom w:w="0" w:type="dxa"/>
              <w:right w:w="120" w:type="dxa"/>
            </w:tcMar>
          </w:tcPr>
          <w:p w:rsidR="008948C0" w:rsidRPr="008948C0" w:rsidRDefault="008948C0" w:rsidP="00D7507C"/>
        </w:tc>
        <w:tc>
          <w:tcPr>
            <w:tcW w:w="4052" w:type="dxa"/>
            <w:tcMar>
              <w:top w:w="0" w:type="dxa"/>
              <w:left w:w="120" w:type="dxa"/>
              <w:bottom w:w="0" w:type="dxa"/>
              <w:right w:w="120" w:type="dxa"/>
            </w:tcMar>
          </w:tcPr>
          <w:p w:rsidR="008948C0" w:rsidRPr="008E7862" w:rsidRDefault="008948C0" w:rsidP="00FE24C2"/>
        </w:tc>
      </w:tr>
    </w:tbl>
    <w:p w:rsidR="00714D5D" w:rsidRDefault="00714D5D" w:rsidP="00FE24C2"/>
    <w:sectPr w:rsidR="00714D5D" w:rsidSect="00171615">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15" w:rsidRDefault="005B4315" w:rsidP="00FE24C2">
      <w:r>
        <w:separator/>
      </w:r>
    </w:p>
  </w:endnote>
  <w:endnote w:type="continuationSeparator" w:id="0">
    <w:p w:rsidR="005B4315" w:rsidRDefault="005B4315" w:rsidP="00FE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15" w:rsidRDefault="005B4315" w:rsidP="00FE24C2">
      <w:r>
        <w:separator/>
      </w:r>
    </w:p>
  </w:footnote>
  <w:footnote w:type="continuationSeparator" w:id="0">
    <w:p w:rsidR="005B4315" w:rsidRDefault="005B4315" w:rsidP="00FE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34"/>
    <w:rsid w:val="00004410"/>
    <w:rsid w:val="000C52D7"/>
    <w:rsid w:val="000F316A"/>
    <w:rsid w:val="0012777A"/>
    <w:rsid w:val="00171615"/>
    <w:rsid w:val="001B0A31"/>
    <w:rsid w:val="001F56DA"/>
    <w:rsid w:val="002270F2"/>
    <w:rsid w:val="004C21D9"/>
    <w:rsid w:val="004D6594"/>
    <w:rsid w:val="0050232C"/>
    <w:rsid w:val="005B4315"/>
    <w:rsid w:val="0061330F"/>
    <w:rsid w:val="006453A5"/>
    <w:rsid w:val="006D176C"/>
    <w:rsid w:val="00713FB1"/>
    <w:rsid w:val="00714D5D"/>
    <w:rsid w:val="00717F83"/>
    <w:rsid w:val="007236BB"/>
    <w:rsid w:val="00841399"/>
    <w:rsid w:val="00861F47"/>
    <w:rsid w:val="00892888"/>
    <w:rsid w:val="008948C0"/>
    <w:rsid w:val="008E6A94"/>
    <w:rsid w:val="008E7862"/>
    <w:rsid w:val="00913FFB"/>
    <w:rsid w:val="00915B00"/>
    <w:rsid w:val="009466E8"/>
    <w:rsid w:val="00950FEF"/>
    <w:rsid w:val="00A077B2"/>
    <w:rsid w:val="00B56534"/>
    <w:rsid w:val="00BB4D9D"/>
    <w:rsid w:val="00C23148"/>
    <w:rsid w:val="00C35CFE"/>
    <w:rsid w:val="00C621AC"/>
    <w:rsid w:val="00CF3B61"/>
    <w:rsid w:val="00E83CCC"/>
    <w:rsid w:val="00F27D26"/>
    <w:rsid w:val="00F31E20"/>
    <w:rsid w:val="00F40136"/>
    <w:rsid w:val="00F700FB"/>
    <w:rsid w:val="00F85D1A"/>
    <w:rsid w:val="00F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C2"/>
    <w:pPr>
      <w:spacing w:before="120" w:after="0" w:line="288" w:lineRule="auto"/>
    </w:pPr>
    <w:rPr>
      <w:rFonts w:ascii="Arial" w:eastAsia="Times New Roman" w:hAnsi="Arial" w:cs="Arial"/>
      <w:color w:val="404040" w:themeColor="text1" w:themeTint="BF"/>
      <w:sz w:val="18"/>
      <w:szCs w:val="20"/>
    </w:rPr>
  </w:style>
  <w:style w:type="paragraph" w:styleId="Heading1">
    <w:name w:val="heading 1"/>
    <w:basedOn w:val="Normal"/>
    <w:next w:val="Normal"/>
    <w:link w:val="Heading1Char"/>
    <w:uiPriority w:val="9"/>
    <w:qFormat/>
    <w:rsid w:val="00FE24C2"/>
    <w:pPr>
      <w:keepNext/>
      <w:keepLines/>
      <w:outlineLvl w:val="0"/>
    </w:pPr>
    <w:rPr>
      <w:b/>
      <w:bCs/>
      <w:noProo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3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34"/>
    <w:rPr>
      <w:rFonts w:ascii="Tahoma" w:hAnsi="Tahoma" w:cs="Tahoma"/>
      <w:sz w:val="16"/>
      <w:szCs w:val="16"/>
    </w:rPr>
  </w:style>
  <w:style w:type="paragraph" w:styleId="Header">
    <w:name w:val="header"/>
    <w:basedOn w:val="Normal"/>
    <w:link w:val="HeaderChar"/>
    <w:uiPriority w:val="99"/>
    <w:unhideWhenUsed/>
    <w:rsid w:val="00A077B2"/>
    <w:pPr>
      <w:tabs>
        <w:tab w:val="center" w:pos="4680"/>
        <w:tab w:val="right" w:pos="9360"/>
      </w:tabs>
      <w:spacing w:line="240" w:lineRule="auto"/>
    </w:pPr>
  </w:style>
  <w:style w:type="character" w:customStyle="1" w:styleId="HeaderChar">
    <w:name w:val="Header Char"/>
    <w:basedOn w:val="DefaultParagraphFont"/>
    <w:link w:val="Header"/>
    <w:uiPriority w:val="99"/>
    <w:rsid w:val="00A077B2"/>
  </w:style>
  <w:style w:type="paragraph" w:styleId="Footer">
    <w:name w:val="footer"/>
    <w:basedOn w:val="Normal"/>
    <w:link w:val="FooterChar"/>
    <w:uiPriority w:val="99"/>
    <w:unhideWhenUsed/>
    <w:rsid w:val="00A077B2"/>
    <w:pPr>
      <w:tabs>
        <w:tab w:val="center" w:pos="4680"/>
        <w:tab w:val="right" w:pos="9360"/>
      </w:tabs>
      <w:spacing w:line="240" w:lineRule="auto"/>
    </w:pPr>
  </w:style>
  <w:style w:type="character" w:customStyle="1" w:styleId="FooterChar">
    <w:name w:val="Footer Char"/>
    <w:basedOn w:val="DefaultParagraphFont"/>
    <w:link w:val="Footer"/>
    <w:uiPriority w:val="99"/>
    <w:rsid w:val="00A077B2"/>
  </w:style>
  <w:style w:type="character" w:customStyle="1" w:styleId="Heading1Char">
    <w:name w:val="Heading 1 Char"/>
    <w:basedOn w:val="DefaultParagraphFont"/>
    <w:link w:val="Heading1"/>
    <w:uiPriority w:val="9"/>
    <w:rsid w:val="00FE24C2"/>
    <w:rPr>
      <w:rFonts w:ascii="Arial" w:eastAsia="Times New Roman" w:hAnsi="Arial" w:cs="Arial"/>
      <w:b/>
      <w:bCs/>
      <w:noProof/>
      <w:color w:val="404040" w:themeColor="text1" w:themeTint="BF"/>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C2"/>
    <w:pPr>
      <w:spacing w:before="120" w:after="0" w:line="288" w:lineRule="auto"/>
    </w:pPr>
    <w:rPr>
      <w:rFonts w:ascii="Arial" w:eastAsia="Times New Roman" w:hAnsi="Arial" w:cs="Arial"/>
      <w:color w:val="404040" w:themeColor="text1" w:themeTint="BF"/>
      <w:sz w:val="18"/>
      <w:szCs w:val="20"/>
    </w:rPr>
  </w:style>
  <w:style w:type="paragraph" w:styleId="Heading1">
    <w:name w:val="heading 1"/>
    <w:basedOn w:val="Normal"/>
    <w:next w:val="Normal"/>
    <w:link w:val="Heading1Char"/>
    <w:uiPriority w:val="9"/>
    <w:qFormat/>
    <w:rsid w:val="00FE24C2"/>
    <w:pPr>
      <w:keepNext/>
      <w:keepLines/>
      <w:outlineLvl w:val="0"/>
    </w:pPr>
    <w:rPr>
      <w:b/>
      <w:bCs/>
      <w:noProo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3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34"/>
    <w:rPr>
      <w:rFonts w:ascii="Tahoma" w:hAnsi="Tahoma" w:cs="Tahoma"/>
      <w:sz w:val="16"/>
      <w:szCs w:val="16"/>
    </w:rPr>
  </w:style>
  <w:style w:type="paragraph" w:styleId="Header">
    <w:name w:val="header"/>
    <w:basedOn w:val="Normal"/>
    <w:link w:val="HeaderChar"/>
    <w:uiPriority w:val="99"/>
    <w:unhideWhenUsed/>
    <w:rsid w:val="00A077B2"/>
    <w:pPr>
      <w:tabs>
        <w:tab w:val="center" w:pos="4680"/>
        <w:tab w:val="right" w:pos="9360"/>
      </w:tabs>
      <w:spacing w:line="240" w:lineRule="auto"/>
    </w:pPr>
  </w:style>
  <w:style w:type="character" w:customStyle="1" w:styleId="HeaderChar">
    <w:name w:val="Header Char"/>
    <w:basedOn w:val="DefaultParagraphFont"/>
    <w:link w:val="Header"/>
    <w:uiPriority w:val="99"/>
    <w:rsid w:val="00A077B2"/>
  </w:style>
  <w:style w:type="paragraph" w:styleId="Footer">
    <w:name w:val="footer"/>
    <w:basedOn w:val="Normal"/>
    <w:link w:val="FooterChar"/>
    <w:uiPriority w:val="99"/>
    <w:unhideWhenUsed/>
    <w:rsid w:val="00A077B2"/>
    <w:pPr>
      <w:tabs>
        <w:tab w:val="center" w:pos="4680"/>
        <w:tab w:val="right" w:pos="9360"/>
      </w:tabs>
      <w:spacing w:line="240" w:lineRule="auto"/>
    </w:pPr>
  </w:style>
  <w:style w:type="character" w:customStyle="1" w:styleId="FooterChar">
    <w:name w:val="Footer Char"/>
    <w:basedOn w:val="DefaultParagraphFont"/>
    <w:link w:val="Footer"/>
    <w:uiPriority w:val="99"/>
    <w:rsid w:val="00A077B2"/>
  </w:style>
  <w:style w:type="character" w:customStyle="1" w:styleId="Heading1Char">
    <w:name w:val="Heading 1 Char"/>
    <w:basedOn w:val="DefaultParagraphFont"/>
    <w:link w:val="Heading1"/>
    <w:uiPriority w:val="9"/>
    <w:rsid w:val="00FE24C2"/>
    <w:rPr>
      <w:rFonts w:ascii="Arial" w:eastAsia="Times New Roman" w:hAnsi="Arial" w:cs="Arial"/>
      <w:b/>
      <w:bCs/>
      <w:noProof/>
      <w:color w:val="404040" w:themeColor="text1" w:themeTint="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7936">
      <w:bodyDiv w:val="1"/>
      <w:marLeft w:val="0"/>
      <w:marRight w:val="0"/>
      <w:marTop w:val="0"/>
      <w:marBottom w:val="0"/>
      <w:divBdr>
        <w:top w:val="none" w:sz="0" w:space="0" w:color="auto"/>
        <w:left w:val="none" w:sz="0" w:space="0" w:color="auto"/>
        <w:bottom w:val="none" w:sz="0" w:space="0" w:color="auto"/>
        <w:right w:val="none" w:sz="0" w:space="0" w:color="auto"/>
      </w:divBdr>
      <w:divsChild>
        <w:div w:id="3368067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8C9E-BFFD-4FAA-A2CB-F0469443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Conway</dc:creator>
  <cp:lastModifiedBy>Janet</cp:lastModifiedBy>
  <cp:revision>2</cp:revision>
  <dcterms:created xsi:type="dcterms:W3CDTF">2016-01-06T02:14:00Z</dcterms:created>
  <dcterms:modified xsi:type="dcterms:W3CDTF">2016-01-06T02:14:00Z</dcterms:modified>
</cp:coreProperties>
</file>